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D9071F" w:rsidR="00004832" w:rsidP="46C4DE92" w:rsidRDefault="00004832" w14:paraId="72A67303" w14:noSpellErr="1" w14:textId="7C6D7DF0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</w:rPr>
      </w:pPr>
      <w:r w:rsidRPr="46C4DE92">
        <w:rPr>
          <w:noProof w:val="0"/>
          <w:sz w:val="24"/>
          <w:szCs w:val="24"/>
        </w:rPr>
        <w:t>3GPP TSG-RAN WG2 Meeting #</w:t>
      </w:r>
      <w:r w:rsidRPr="46C4DE92">
        <w:rPr>
          <w:noProof w:val="0"/>
          <w:sz w:val="24"/>
          <w:szCs w:val="24"/>
          <w:lang w:eastAsia="zh-CN"/>
        </w:rPr>
        <w:t>103</w:t>
      </w:r>
      <w:r w:rsidRPr="00B266B0">
        <w:rPr>
          <w:bCs/>
          <w:noProof w:val="0"/>
          <w:sz w:val="24"/>
          <w:szCs w:val="24"/>
        </w:rPr>
        <w:tab/>
      </w:r>
      <w:r w:rsidRPr="46C4DE92">
        <w:rPr>
          <w:noProof w:val="0"/>
          <w:sz w:val="24"/>
          <w:szCs w:val="24"/>
        </w:rPr>
        <w:t>R</w:t>
      </w:r>
      <w:r w:rsidRPr="46C4DE92">
        <w:rPr>
          <w:noProof w:val="0"/>
          <w:sz w:val="24"/>
          <w:szCs w:val="24"/>
        </w:rPr>
        <w:t>2</w:t>
      </w:r>
      <w:r w:rsidRPr="46C4DE92">
        <w:rPr>
          <w:noProof w:val="0"/>
          <w:sz w:val="24"/>
          <w:szCs w:val="24"/>
        </w:rPr>
        <w:t>-</w:t>
      </w:r>
      <w:r w:rsidRPr="46C4DE92">
        <w:rPr>
          <w:noProof w:val="0"/>
          <w:sz w:val="24"/>
          <w:szCs w:val="24"/>
        </w:rPr>
        <w:t>18</w:t>
      </w:r>
      <w:r w:rsidRPr="46C4DE92">
        <w:rPr>
          <w:noProof w:val="0"/>
          <w:sz w:val="24"/>
          <w:szCs w:val="24"/>
        </w:rPr>
        <w:t>12326</w:t>
      </w:r>
    </w:p>
    <w:p w:rsidRPr="00B266B0" w:rsidR="00CD4C7B" w:rsidP="46C4DE92" w:rsidRDefault="00004832" w14:paraId="231362B2" w14:textId="21D765E6" w14:noSpellErr="1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46C4DE92">
        <w:rPr>
          <w:noProof w:val="0"/>
          <w:sz w:val="24"/>
          <w:szCs w:val="24"/>
        </w:rPr>
        <w:t>Gothenburg</w:t>
      </w:r>
      <w:r w:rsidRPr="46C4DE92">
        <w:rPr>
          <w:noProof w:val="0"/>
          <w:sz w:val="24"/>
          <w:szCs w:val="24"/>
        </w:rPr>
        <w:t xml:space="preserve">, </w:t>
      </w:r>
      <w:r w:rsidRPr="46C4DE92">
        <w:rPr>
          <w:noProof w:val="0"/>
          <w:sz w:val="24"/>
          <w:szCs w:val="24"/>
        </w:rPr>
        <w:t>Sweden</w:t>
      </w:r>
      <w:r w:rsidRPr="46C4DE92">
        <w:rPr>
          <w:noProof w:val="0"/>
          <w:sz w:val="24"/>
          <w:szCs w:val="24"/>
        </w:rPr>
        <w:t>, 2</w:t>
      </w:r>
      <w:r w:rsidRPr="46C4DE92">
        <w:rPr>
          <w:noProof w:val="0"/>
          <w:sz w:val="24"/>
          <w:szCs w:val="24"/>
        </w:rPr>
        <w:t>0</w:t>
      </w:r>
      <w:r w:rsidRPr="46C4DE92">
        <w:rPr>
          <w:noProof w:val="0"/>
          <w:sz w:val="24"/>
          <w:szCs w:val="24"/>
          <w:vertAlign w:val="superscript"/>
        </w:rPr>
        <w:t>-</w:t>
      </w:r>
      <w:r w:rsidRPr="46C4DE92">
        <w:rPr>
          <w:noProof w:val="0"/>
          <w:sz w:val="24"/>
          <w:szCs w:val="24"/>
        </w:rPr>
        <w:t xml:space="preserve">24 August </w:t>
      </w:r>
      <w:r w:rsidRPr="00D9071F">
        <w:rPr>
          <w:noProof w:val="0"/>
          <w:sz w:val="24"/>
          <w:szCs w:val="24"/>
          <w:lang w:eastAsia="zh-CN"/>
        </w:rPr>
        <w:t>2018</w:t>
      </w:r>
      <w:r w:rsidRPr="00D9071F">
        <w:rPr>
          <w:noProof w:val="0"/>
          <w:sz w:val="24"/>
          <w:szCs w:val="24"/>
          <w:lang w:eastAsia="zh-CN"/>
        </w:rPr>
        <w:tab/>
      </w:r>
    </w:p>
    <w:p w:rsidRPr="006842D7" w:rsidR="00CD4C7B" w:rsidP="00CD4C7B" w:rsidRDefault="00CD4C7B" w14:paraId="39BE00F6" w14:textId="77777777">
      <w:pPr>
        <w:pStyle w:val="Header"/>
        <w:rPr>
          <w:bCs/>
          <w:noProof w:val="0"/>
          <w:sz w:val="24"/>
        </w:rPr>
      </w:pPr>
    </w:p>
    <w:p w:rsidRPr="006842D7" w:rsidR="00CD4C7B" w:rsidP="00CD4C7B" w:rsidRDefault="00CD4C7B" w14:paraId="49379CFB" w14:textId="77777777">
      <w:pPr>
        <w:pStyle w:val="Header"/>
        <w:rPr>
          <w:bCs/>
          <w:noProof w:val="0"/>
          <w:sz w:val="24"/>
        </w:rPr>
      </w:pPr>
    </w:p>
    <w:p w:rsidRPr="00B266B0" w:rsidR="00CD4C7B" w:rsidP="46C4DE92" w:rsidRDefault="00CD4C7B" w14:paraId="758E2B30" w14:textId="7BEE3988">
      <w:pPr>
        <w:pStyle w:val="CRCoverPage"/>
        <w:tabs>
          <w:tab w:val="left" w:pos="1985"/>
        </w:tabs>
        <w:rPr>
          <w:rFonts w:ascii="Arial" w:hAnsi="Arial" w:eastAsia="Arial" w:cs="Arial"/>
          <w:b w:val="1"/>
          <w:bCs w:val="1"/>
          <w:sz w:val="24"/>
          <w:szCs w:val="24"/>
          <w:lang w:eastAsia="ja-JP"/>
        </w:rPr>
      </w:pPr>
      <w:r w:rsidRPr="46C4DE92">
        <w:rPr>
          <w:b w:val="1"/>
          <w:bCs w:val="1"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Pr="46C4DE92" w:rsidR="002A3290">
        <w:rPr>
          <w:b w:val="1"/>
          <w:bCs w:val="1"/>
          <w:sz w:val="24"/>
          <w:szCs w:val="24"/>
          <w:lang w:eastAsia="ja-JP"/>
        </w:rPr>
        <w:t>11.2</w:t>
      </w:r>
      <w:r w:rsidRPr="46C4DE92" w:rsidR="00004832">
        <w:rPr>
          <w:b w:val="1"/>
          <w:bCs w:val="1"/>
          <w:sz w:val="24"/>
          <w:szCs w:val="24"/>
          <w:lang w:eastAsia="ja-JP"/>
        </w:rPr>
        <w:t>.2</w:t>
      </w:r>
      <w:r w:rsidRPr="46C4DE92" w:rsidR="00004832">
        <w:rPr>
          <w:b w:val="1"/>
          <w:bCs w:val="1"/>
          <w:sz w:val="24"/>
          <w:szCs w:val="24"/>
          <w:lang w:eastAsia="ja-JP"/>
        </w:rPr>
        <w:t>.2</w:t>
      </w:r>
    </w:p>
    <w:p w:rsidRPr="00B266B0" w:rsidR="00CD4C7B" w:rsidP="46C4DE92" w:rsidRDefault="00CD4C7B" w14:paraId="6A1BC0C1" w14:textId="2FF76E31">
      <w:pPr>
        <w:tabs>
          <w:tab w:val="left" w:pos="1985"/>
        </w:tabs>
        <w:ind w:left="1985" w:hanging="1985"/>
        <w:rPr>
          <w:rFonts w:ascii="Arial" w:hAnsi="Arial" w:eastAsia="Arial" w:cs="Arial"/>
          <w:b w:val="1"/>
          <w:bCs w:val="1"/>
          <w:sz w:val="24"/>
          <w:szCs w:val="24"/>
        </w:rPr>
      </w:pPr>
      <w:proofErr w:type="spellStart"/>
      <w:r w:rsidRPr="46C4DE92">
        <w:rPr>
          <w:rFonts w:ascii="Arial" w:hAnsi="Arial" w:eastAsia="Arial" w:cs="Arial"/>
          <w:b w:val="1"/>
          <w:bCs w:val="1"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46C4DE92" w:rsidR="001741A0">
        <w:rPr>
          <w:rFonts w:ascii="Arial" w:hAnsi="Arial" w:eastAsia="Arial" w:cs="Arial"/>
          <w:b w:val="1"/>
          <w:bCs w:val="1"/>
          <w:sz w:val="24"/>
          <w:szCs w:val="24"/>
        </w:rPr>
        <w:t>Nokia</w:t>
      </w:r>
      <w:proofErr w:type="spellEnd"/>
      <w:r w:rsidRPr="46C4DE92" w:rsidR="00090468">
        <w:rPr>
          <w:rFonts w:ascii="Arial" w:hAnsi="Arial" w:eastAsia="Arial" w:cs="Arial"/>
          <w:b w:val="1"/>
          <w:bCs w:val="1"/>
          <w:sz w:val="24"/>
          <w:szCs w:val="24"/>
        </w:rPr>
        <w:t xml:space="preserve">, </w:t>
      </w:r>
      <w:r w:rsidRPr="46C4DE92" w:rsidR="00325AE3">
        <w:rPr>
          <w:rFonts w:ascii="Arial" w:hAnsi="Arial" w:eastAsia="Arial" w:cs="Arial"/>
          <w:b w:val="1"/>
          <w:bCs w:val="1"/>
          <w:sz w:val="24"/>
          <w:szCs w:val="24"/>
        </w:rPr>
        <w:t>Nokia</w:t>
      </w:r>
      <w:r w:rsidRPr="46C4DE92" w:rsidR="00090468">
        <w:rPr>
          <w:rFonts w:ascii="Arial" w:hAnsi="Arial" w:eastAsia="Arial" w:cs="Arial"/>
          <w:b w:val="1"/>
          <w:bCs w:val="1"/>
          <w:sz w:val="24"/>
          <w:szCs w:val="24"/>
        </w:rPr>
        <w:t xml:space="preserve"> Shanghai Bell</w:t>
      </w:r>
    </w:p>
    <w:p w:rsidR="00CD4C7B" w:rsidP="46C4DE92" w:rsidRDefault="00CD4C7B" w14:paraId="45BE90BE" w14:textId="502BB704">
      <w:pPr>
        <w:ind w:left="1985" w:hanging="1985"/>
        <w:rPr>
          <w:rFonts w:ascii="Arial" w:hAnsi="Arial" w:eastAsia="Arial" w:cs="Arial"/>
          <w:b w:val="1"/>
          <w:bCs w:val="1"/>
          <w:sz w:val="24"/>
          <w:szCs w:val="24"/>
        </w:rPr>
      </w:pPr>
      <w:proofErr w:type="spellStart"/>
      <w:r w:rsidRPr="46C4DE92">
        <w:rPr>
          <w:rFonts w:ascii="Arial" w:hAnsi="Arial" w:eastAsia="Arial" w:cs="Arial"/>
          <w:b w:val="1"/>
          <w:bCs w:val="1"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name="_Hlk517262069" w:id="0"/>
      <w:r w:rsidRPr="46C4DE92" w:rsidR="00311E9F">
        <w:rPr>
          <w:rFonts w:ascii="Arial" w:hAnsi="Arial" w:eastAsia="Arial" w:cs="Arial"/>
          <w:b w:val="1"/>
          <w:bCs w:val="1"/>
          <w:sz w:val="24"/>
          <w:szCs w:val="24"/>
          <w:lang w:eastAsia="zh-CN"/>
        </w:rPr>
        <w:t>RRC</w:t>
      </w:r>
      <w:proofErr w:type="spellEnd"/>
      <w:r w:rsidRPr="46C4DE92" w:rsidR="00311E9F">
        <w:rPr>
          <w:rFonts w:ascii="Arial" w:hAnsi="Arial" w:eastAsia="Arial" w:cs="Arial"/>
          <w:b w:val="1"/>
          <w:bCs w:val="1"/>
          <w:sz w:val="24"/>
          <w:szCs w:val="24"/>
          <w:lang w:eastAsia="zh-CN"/>
        </w:rPr>
        <w:t xml:space="preserve"> connected mode mobility for NR-U</w:t>
      </w:r>
      <w:bookmarkEnd w:id="0"/>
    </w:p>
    <w:p w:rsidRPr="00B266B0" w:rsidR="00CD4C7B" w:rsidP="46C4DE92" w:rsidRDefault="00CD4C7B" w14:paraId="3AC3A0B1" w14:textId="170817CC">
      <w:pPr>
        <w:ind w:left="1985" w:hanging="1985"/>
        <w:rPr>
          <w:rFonts w:ascii="Arial" w:hAnsi="Arial" w:eastAsia="Arial" w:cs="Arial"/>
          <w:b w:val="1"/>
          <w:bCs w:val="1"/>
          <w:sz w:val="24"/>
          <w:szCs w:val="24"/>
        </w:rPr>
      </w:pPr>
      <w:r w:rsidRPr="46C4DE92">
        <w:rPr>
          <w:rFonts w:ascii="Arial" w:hAnsi="Arial" w:eastAsia="Arial" w:cs="Arial"/>
          <w:b w:val="1"/>
          <w:bCs w:val="1"/>
          <w:sz w:val="24"/>
          <w:szCs w:val="24"/>
        </w:rPr>
        <w:t>WID/</w:t>
      </w:r>
      <w:proofErr w:type="spellStart"/>
      <w:r w:rsidRPr="46C4DE92">
        <w:rPr>
          <w:rFonts w:ascii="Arial" w:hAnsi="Arial" w:eastAsia="Arial" w:cs="Arial"/>
          <w:b w:val="1"/>
          <w:bCs w:val="1"/>
          <w:sz w:val="24"/>
          <w:szCs w:val="24"/>
        </w:rPr>
        <w:t>SID:</w:t>
      </w:r>
      <w:r>
        <w:rPr>
          <w:rFonts w:ascii="Arial" w:hAnsi="Arial" w:cs="Arial"/>
          <w:b/>
          <w:bCs/>
          <w:sz w:val="24"/>
        </w:rPr>
        <w:tab/>
      </w:r>
      <w:r w:rsidRPr="46C4DE92" w:rsidR="00610313">
        <w:rPr>
          <w:rFonts w:ascii="Arial" w:hAnsi="Arial" w:eastAsia="Arial" w:cs="Arial"/>
          <w:b w:val="1"/>
          <w:bCs w:val="1"/>
          <w:sz w:val="24"/>
          <w:szCs w:val="24"/>
        </w:rPr>
        <w:t>FS_NR_unlic</w:t>
      </w:r>
      <w:proofErr w:type="spellEnd"/>
      <w:r w:rsidRPr="46C4DE92" w:rsidR="00610313">
        <w:rPr>
          <w:rFonts w:ascii="Arial" w:hAnsi="Arial" w:eastAsia="Arial" w:cs="Arial"/>
          <w:b w:val="1"/>
          <w:bCs w:val="1"/>
          <w:sz w:val="24"/>
          <w:szCs w:val="24"/>
        </w:rPr>
        <w:t xml:space="preserve"> – Release 16</w:t>
      </w:r>
    </w:p>
    <w:p w:rsidRPr="00B266B0" w:rsidR="00CD4C7B" w:rsidP="46C4DE92" w:rsidRDefault="00CD4C7B" w14:paraId="7DF86DB4" w14:textId="77777777">
      <w:pPr>
        <w:tabs>
          <w:tab w:val="left" w:pos="1985"/>
        </w:tabs>
        <w:rPr>
          <w:rFonts w:ascii="Arial" w:hAnsi="Arial" w:eastAsia="Arial" w:cs="Arial"/>
          <w:b w:val="1"/>
          <w:bCs w:val="1"/>
          <w:sz w:val="24"/>
          <w:szCs w:val="24"/>
        </w:rPr>
      </w:pPr>
      <w:r w:rsidRPr="46C4DE92">
        <w:rPr>
          <w:rFonts w:ascii="Arial" w:hAnsi="Arial" w:eastAsia="Arial" w:cs="Arial"/>
          <w:b w:val="1"/>
          <w:bCs w:val="1"/>
          <w:sz w:val="24"/>
          <w:szCs w:val="24"/>
        </w:rPr>
        <w:t xml:space="preserve">Document </w:t>
      </w:r>
      <w:proofErr w:type="spellStart"/>
      <w:r w:rsidRPr="46C4DE92">
        <w:rPr>
          <w:rFonts w:ascii="Arial" w:hAnsi="Arial" w:eastAsia="Arial" w:cs="Arial"/>
          <w:b w:val="1"/>
          <w:bCs w:val="1"/>
          <w:sz w:val="24"/>
          <w:szCs w:val="24"/>
        </w:rPr>
        <w:t>for:</w:t>
      </w:r>
      <w:r w:rsidRPr="00B266B0">
        <w:rPr>
          <w:rFonts w:ascii="Arial" w:hAnsi="Arial" w:cs="Arial"/>
          <w:b/>
          <w:bCs/>
          <w:sz w:val="24"/>
        </w:rPr>
        <w:tab/>
      </w:r>
      <w:r w:rsidRPr="46C4DE92">
        <w:rPr>
          <w:rFonts w:ascii="Arial" w:hAnsi="Arial" w:eastAsia="Arial" w:cs="Arial"/>
          <w:b w:val="1"/>
          <w:bCs w:val="1"/>
          <w:sz w:val="24"/>
          <w:szCs w:val="24"/>
        </w:rPr>
        <w:t>Discussion</w:t>
      </w:r>
      <w:proofErr w:type="spellEnd"/>
      <w:r w:rsidRPr="46C4DE92">
        <w:rPr>
          <w:rFonts w:ascii="Arial" w:hAnsi="Arial" w:eastAsia="Arial" w:cs="Arial"/>
          <w:b w:val="1"/>
          <w:bCs w:val="1"/>
          <w:sz w:val="24"/>
          <w:szCs w:val="24"/>
        </w:rPr>
        <w:t xml:space="preserve"> and Decision</w:t>
      </w:r>
    </w:p>
    <w:p w:rsidRPr="006E13D1" w:rsidR="00CD4C7B" w:rsidP="00CD4C7B" w:rsidRDefault="00CD4C7B" w14:paraId="3E959691" w14:textId="77777777" w14:noSpellErr="1">
      <w:pPr>
        <w:pStyle w:val="Heading1"/>
      </w:pPr>
      <w:r w:rsidRPr="006E13D1">
        <w:rPr/>
        <w:t>1</w:t>
      </w:r>
      <w:r w:rsidRPr="006E13D1">
        <w:tab/>
      </w:r>
      <w:r w:rsidR="0056573F">
        <w:rPr/>
        <w:t>Introduction</w:t>
      </w:r>
    </w:p>
    <w:p w:rsidRPr="006B620F" w:rsidR="00061637" w:rsidP="46C4DE92" w:rsidRDefault="001E531D" w14:paraId="1877E2FD" w14:textId="53D05626" w14:noSpellErr="1">
      <w:pPr>
        <w:pStyle w:val="Doc-title"/>
        <w:ind w:left="0" w:firstLine="0"/>
        <w:jc w:val="both"/>
        <w:rPr>
          <w:rFonts w:ascii="Times New Roman" w:hAnsi="Times New Roman" w:eastAsia="Times New Roman" w:cs="Times New Roman"/>
          <w:lang w:val="en-US"/>
        </w:rPr>
      </w:pPr>
      <w:r w:rsidRPr="46C4DE92" w:rsidR="46C4DE92">
        <w:rPr>
          <w:rFonts w:ascii="Times New Roman" w:hAnsi="Times New Roman" w:eastAsia="Times New Roman" w:cs="Times New Roman"/>
        </w:rPr>
        <w:t xml:space="preserve">An email discussion </w:t>
      </w:r>
      <w:r w:rsidRPr="46C4DE92" w:rsidR="46C4DE92">
        <w:rPr>
          <w:rFonts w:ascii="Times New Roman" w:hAnsi="Times New Roman" w:eastAsia="Times New Roman" w:cs="Times New Roman"/>
        </w:rPr>
        <w:t xml:space="preserve">was agreed </w:t>
      </w:r>
      <w:r w:rsidRPr="46C4DE92" w:rsidR="46C4DE92">
        <w:rPr>
          <w:rFonts w:ascii="Times New Roman" w:hAnsi="Times New Roman" w:eastAsia="Times New Roman" w:cs="Times New Roman"/>
        </w:rPr>
        <w:t xml:space="preserve">at </w:t>
      </w:r>
      <w:r w:rsidRPr="46C4DE92" w:rsidR="46C4DE92">
        <w:rPr>
          <w:rFonts w:ascii="Times New Roman" w:hAnsi="Times New Roman" w:eastAsia="Times New Roman" w:cs="Times New Roman"/>
        </w:rPr>
        <w:t xml:space="preserve">RAN2 #102 with the intention to make progress on mobility aspects of NR unlicensed as </w:t>
      </w:r>
      <w:r w:rsidRPr="46C4DE92" w:rsidR="46C4DE92">
        <w:rPr>
          <w:rFonts w:ascii="Times New Roman" w:hAnsi="Times New Roman" w:eastAsia="Times New Roman" w:cs="Times New Roman"/>
          <w:lang w:val="en-US"/>
        </w:rPr>
        <w:t>part of the Study Item:</w:t>
      </w:r>
    </w:p>
    <w:p w:rsidRPr="00B60E68" w:rsidR="00061637" w:rsidP="46C4DE92" w:rsidRDefault="00061637" w14:paraId="4A4BC985" w14:textId="4A4FF816">
      <w:pPr>
        <w:pStyle w:val="Doc-title"/>
        <w:jc w:val="both"/>
        <w:rPr>
          <w:rFonts w:ascii="Times New Roman" w:hAnsi="Times New Roman" w:eastAsia="Times New Roman" w:cs="Times New Roman"/>
          <w:i w:val="1"/>
          <w:iCs w:val="1"/>
          <w:lang w:val="it-IT"/>
        </w:rPr>
      </w:pPr>
      <w:bookmarkStart w:name="_Hlk516431393" w:id="1"/>
      <w:r w:rsidRPr="46C4DE92" w:rsidR="46C4DE92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[102#69] [NR] NR-U </w:t>
      </w:r>
      <w:proofErr w:type="spellStart"/>
      <w:r w:rsidRPr="46C4DE92" w:rsidR="46C4DE92">
        <w:rPr>
          <w:rFonts w:ascii="Times New Roman" w:hAnsi="Times New Roman" w:eastAsia="Times New Roman" w:cs="Times New Roman"/>
          <w:i w:val="1"/>
          <w:iCs w:val="1"/>
          <w:lang w:val="it-IT"/>
        </w:rPr>
        <w:t>mobility</w:t>
      </w:r>
      <w:proofErr w:type="spellEnd"/>
      <w:r w:rsidRPr="46C4DE92" w:rsidR="46C4DE92">
        <w:rPr>
          <w:rFonts w:ascii="Times New Roman" w:hAnsi="Times New Roman" w:eastAsia="Times New Roman" w:cs="Times New Roman"/>
          <w:i w:val="1"/>
          <w:iCs w:val="1"/>
          <w:lang w:val="it-IT"/>
        </w:rPr>
        <w:t xml:space="preserve"> (Qualcomm)</w:t>
      </w:r>
      <w:bookmarkEnd w:id="1"/>
    </w:p>
    <w:p w:rsidRPr="006B620F" w:rsidR="00061637" w:rsidP="46C4DE92" w:rsidRDefault="00061637" w14:paraId="2BB52C77" w14:textId="77777777" w14:noSpellErr="1">
      <w:pPr>
        <w:pStyle w:val="Doc-text2"/>
        <w:spacing w:after="180"/>
        <w:ind w:left="0" w:firstLine="0"/>
        <w:jc w:val="both"/>
        <w:rPr>
          <w:rFonts w:ascii="Times New Roman" w:hAnsi="Times New Roman" w:eastAsia="Times New Roman" w:cs="Times New Roman"/>
          <w:i w:val="1"/>
          <w:iCs w:val="1"/>
          <w:lang w:val="en-US"/>
        </w:rPr>
      </w:pPr>
      <w:r w:rsidRPr="46C4DE92" w:rsidR="46C4DE92">
        <w:rPr>
          <w:rFonts w:ascii="Times New Roman" w:hAnsi="Times New Roman" w:eastAsia="Times New Roman" w:cs="Times New Roman"/>
          <w:i w:val="1"/>
          <w:iCs w:val="1"/>
          <w:lang w:val="en-US"/>
        </w:rPr>
        <w:t xml:space="preserve">Identify the issues that could need changes to: </w:t>
      </w:r>
    </w:p>
    <w:p w:rsidRPr="006B620F" w:rsidR="00061637" w:rsidP="46C4DE92" w:rsidRDefault="00061637" w14:paraId="3E7456B8" w14:textId="41ED6930" w14:noSpellErr="1">
      <w:pPr>
        <w:pStyle w:val="Doc-text2"/>
        <w:numPr>
          <w:ilvl w:val="0"/>
          <w:numId w:val="24"/>
        </w:numPr>
        <w:ind w:left="714" w:hanging="357"/>
        <w:jc w:val="both"/>
        <w:rPr>
          <w:rFonts w:ascii="Times New Roman" w:hAnsi="Times New Roman" w:eastAsia="Times New Roman" w:cs="Times New Roman"/>
          <w:i w:val="1"/>
          <w:iCs w:val="1"/>
          <w:lang w:val="en-US"/>
        </w:rPr>
      </w:pPr>
      <w:r w:rsidRPr="46C4DE92" w:rsidR="46C4DE92">
        <w:rPr>
          <w:rFonts w:ascii="Times New Roman" w:hAnsi="Times New Roman" w:eastAsia="Times New Roman" w:cs="Times New Roman"/>
          <w:i w:val="1"/>
          <w:iCs w:val="1"/>
          <w:lang w:val="en-US"/>
        </w:rPr>
        <w:t>Measurement framework (e.g. SMTC configuration and its provisioning, additional measurements such as channel load)</w:t>
      </w:r>
    </w:p>
    <w:p w:rsidRPr="006B620F" w:rsidR="00061637" w:rsidP="46C4DE92" w:rsidRDefault="00061637" w14:paraId="333D4CDA" w14:textId="77777777" w14:noSpellErr="1">
      <w:pPr>
        <w:pStyle w:val="Doc-text2"/>
        <w:numPr>
          <w:ilvl w:val="0"/>
          <w:numId w:val="24"/>
        </w:numPr>
        <w:jc w:val="both"/>
        <w:rPr>
          <w:rFonts w:ascii="Times New Roman" w:hAnsi="Times New Roman" w:eastAsia="Times New Roman" w:cs="Times New Roman"/>
          <w:i w:val="1"/>
          <w:iCs w:val="1"/>
          <w:lang w:val="en-US"/>
        </w:rPr>
      </w:pPr>
      <w:r w:rsidRPr="46C4DE92" w:rsidR="46C4DE92">
        <w:rPr>
          <w:rFonts w:ascii="Times New Roman" w:hAnsi="Times New Roman" w:eastAsia="Times New Roman" w:cs="Times New Roman"/>
          <w:i w:val="1"/>
          <w:iCs w:val="1"/>
          <w:lang w:val="en-US"/>
        </w:rPr>
        <w:t>RRM (e.g. applicability of events and how to guarantee robustness)</w:t>
      </w:r>
    </w:p>
    <w:p w:rsidRPr="006B620F" w:rsidR="00061637" w:rsidP="46C4DE92" w:rsidRDefault="00061637" w14:paraId="0C4835B7" w14:textId="77777777" w14:noSpellErr="1">
      <w:pPr>
        <w:pStyle w:val="Doc-text2"/>
        <w:numPr>
          <w:ilvl w:val="0"/>
          <w:numId w:val="24"/>
        </w:numPr>
        <w:jc w:val="both"/>
        <w:rPr>
          <w:rFonts w:ascii="Times New Roman" w:hAnsi="Times New Roman" w:eastAsia="Times New Roman" w:cs="Times New Roman"/>
          <w:i w:val="1"/>
          <w:iCs w:val="1"/>
          <w:lang w:val="en-US"/>
        </w:rPr>
      </w:pPr>
      <w:r w:rsidRPr="46C4DE92" w:rsidR="46C4DE92">
        <w:rPr>
          <w:rFonts w:ascii="Times New Roman" w:hAnsi="Times New Roman" w:eastAsia="Times New Roman" w:cs="Times New Roman"/>
          <w:i w:val="1"/>
          <w:iCs w:val="1"/>
          <w:lang w:val="en-US"/>
        </w:rPr>
        <w:t>Any changes to the RRC procedures for measurements and handover</w:t>
      </w:r>
    </w:p>
    <w:p w:rsidRPr="006B620F" w:rsidR="00061637" w:rsidP="46C4DE92" w:rsidRDefault="00061637" w14:paraId="50A3BCB5" w14:textId="5229B4FC" w14:noSpellErr="1">
      <w:pPr>
        <w:pStyle w:val="Doc-text2"/>
        <w:numPr>
          <w:ilvl w:val="0"/>
          <w:numId w:val="24"/>
        </w:numPr>
        <w:spacing w:after="180"/>
        <w:ind w:left="714" w:hanging="357"/>
        <w:jc w:val="both"/>
        <w:rPr>
          <w:rFonts w:ascii="Times New Roman" w:hAnsi="Times New Roman" w:eastAsia="Times New Roman" w:cs="Times New Roman"/>
          <w:i w:val="1"/>
          <w:iCs w:val="1"/>
          <w:lang w:val="en-US"/>
        </w:rPr>
      </w:pPr>
      <w:bookmarkStart w:name="_Hlk517169345" w:id="2"/>
      <w:r w:rsidRPr="46C4DE92" w:rsidR="46C4DE92">
        <w:rPr>
          <w:rFonts w:ascii="Times New Roman" w:hAnsi="Times New Roman" w:eastAsia="Times New Roman" w:cs="Times New Roman"/>
          <w:i w:val="1"/>
          <w:iCs w:val="1"/>
          <w:lang w:val="en-US"/>
        </w:rPr>
        <w:t>Considerations on Idle/Inactive cell reselection</w:t>
      </w:r>
      <w:r w:rsidRPr="46C4DE92" w:rsidR="46C4DE92">
        <w:rPr>
          <w:rFonts w:ascii="Times New Roman" w:hAnsi="Times New Roman" w:eastAsia="Times New Roman" w:cs="Times New Roman"/>
          <w:i w:val="1"/>
          <w:iCs w:val="1"/>
          <w:lang w:val="en-US"/>
        </w:rPr>
        <w:t xml:space="preserve"> (e.g. changes to cell quality and ranking)</w:t>
      </w:r>
      <w:bookmarkEnd w:id="2"/>
    </w:p>
    <w:p w:rsidR="00B87657" w:rsidP="46C4DE92" w:rsidRDefault="001E531D" w14:paraId="64AB421D" w14:textId="00A5CB30" w14:noSpellErr="1">
      <w:pPr>
        <w:jc w:val="both"/>
        <w:rPr>
          <w:lang w:val="en-US"/>
        </w:rPr>
      </w:pPr>
      <w:r w:rsidRPr="46C4DE92" w:rsidR="46C4DE92">
        <w:rPr>
          <w:lang w:val="en-US"/>
        </w:rPr>
        <w:t xml:space="preserve">The outcome of the email discussion </w:t>
      </w:r>
      <w:r w:rsidRPr="46C4DE92" w:rsidR="46C4DE92">
        <w:rPr>
          <w:lang w:val="en-US"/>
        </w:rPr>
        <w:t>[1</w:t>
      </w:r>
      <w:r w:rsidRPr="46C4DE92" w:rsidR="46C4DE92">
        <w:rPr>
          <w:lang w:val="en-US"/>
        </w:rPr>
        <w:t xml:space="preserve">] was discussed </w:t>
      </w:r>
      <w:r w:rsidRPr="46C4DE92" w:rsidR="46C4DE92">
        <w:rPr>
          <w:lang w:val="en-US"/>
        </w:rPr>
        <w:t xml:space="preserve">in </w:t>
      </w:r>
      <w:r w:rsidRPr="46C4DE92" w:rsidR="46C4DE92">
        <w:rPr>
          <w:lang w:val="en-US"/>
        </w:rPr>
        <w:t>RAN2</w:t>
      </w:r>
      <w:r w:rsidR="46C4DE92">
        <w:rPr/>
        <w:t>#</w:t>
      </w:r>
      <w:r w:rsidRPr="46C4DE92" w:rsidR="46C4DE92">
        <w:rPr>
          <w:lang w:eastAsia="zh-CN"/>
        </w:rPr>
        <w:t>AH-1807</w:t>
      </w:r>
      <w:r w:rsidRPr="46C4DE92" w:rsidR="46C4DE92">
        <w:rPr>
          <w:lang w:val="en-US"/>
        </w:rPr>
        <w:t xml:space="preserve">, with </w:t>
      </w:r>
      <w:r w:rsidRPr="46C4DE92" w:rsidR="46C4DE92">
        <w:rPr>
          <w:lang w:val="en-US"/>
        </w:rPr>
        <w:t xml:space="preserve">the following agreements: </w:t>
      </w:r>
    </w:p>
    <w:p w:rsidRPr="00734AF7" w:rsidR="00B87657" w:rsidP="46C4DE92" w:rsidRDefault="00B87657" w14:paraId="7A3ACEDC" w14:textId="77777777" w14:noSpellErr="1">
      <w:pPr>
        <w:pStyle w:val="Agreement"/>
        <w:tabs>
          <w:tab w:val="num" w:pos="1440"/>
        </w:tabs>
        <w:overflowPunct/>
        <w:autoSpaceDE/>
        <w:autoSpaceDN/>
        <w:adjustRightInd/>
        <w:spacing w:after="0"/>
        <w:ind w:left="454" w:hanging="357"/>
        <w:jc w:val="both"/>
        <w:textAlignment w:val="auto"/>
        <w:rPr>
          <w:i w:val="1"/>
          <w:iCs w:val="1"/>
          <w:sz w:val="18"/>
          <w:szCs w:val="18"/>
        </w:rPr>
      </w:pPr>
      <w:r w:rsidRPr="46C4DE92" w:rsidR="46C4DE92">
        <w:rPr>
          <w:i w:val="1"/>
          <w:iCs w:val="1"/>
          <w:sz w:val="18"/>
          <w:szCs w:val="18"/>
        </w:rPr>
        <w:t>R2 assumes that recurring transmissions of SSB/PBCH and RMSI will be available, but possibly with reduced opportunities due to LBT (details pending R1 decisions)</w:t>
      </w:r>
    </w:p>
    <w:p w:rsidRPr="00734AF7" w:rsidR="00B87657" w:rsidP="46C4DE92" w:rsidRDefault="00B87657" w14:paraId="3D1EC522" w14:textId="77777777" w14:noSpellErr="1">
      <w:pPr>
        <w:pStyle w:val="Agreement"/>
        <w:tabs>
          <w:tab w:val="num" w:pos="1440"/>
        </w:tabs>
        <w:overflowPunct/>
        <w:autoSpaceDE/>
        <w:autoSpaceDN/>
        <w:adjustRightInd/>
        <w:spacing w:after="0"/>
        <w:ind w:left="454"/>
        <w:jc w:val="both"/>
        <w:textAlignment w:val="auto"/>
        <w:rPr>
          <w:i w:val="1"/>
          <w:iCs w:val="1"/>
          <w:sz w:val="18"/>
          <w:szCs w:val="18"/>
        </w:rPr>
      </w:pPr>
      <w:r w:rsidRPr="46C4DE92" w:rsidR="46C4DE92">
        <w:rPr>
          <w:i w:val="1"/>
          <w:iCs w:val="1"/>
          <w:sz w:val="18"/>
          <w:szCs w:val="18"/>
        </w:rPr>
        <w:t>The NR licensed measurement framework (cell and beam quality derivation for RSRP, RSRQ, and SINR, filtering and combining multiple beams) is used as a baseline. Changes, e.g. the handling of missing measurement samples, should be studied after RAN1 makes sufficient progress on RS transmissions.</w:t>
      </w:r>
    </w:p>
    <w:p w:rsidRPr="00734AF7" w:rsidR="00B87657" w:rsidP="46C4DE92" w:rsidRDefault="00B87657" w14:paraId="607D82E4" w14:textId="77777777" w14:noSpellErr="1">
      <w:pPr>
        <w:pStyle w:val="Agreement"/>
        <w:tabs>
          <w:tab w:val="num" w:pos="1440"/>
        </w:tabs>
        <w:overflowPunct/>
        <w:autoSpaceDE/>
        <w:autoSpaceDN/>
        <w:adjustRightInd/>
        <w:spacing w:after="0"/>
        <w:ind w:left="454"/>
        <w:jc w:val="both"/>
        <w:textAlignment w:val="auto"/>
        <w:rPr>
          <w:i w:val="1"/>
          <w:iCs w:val="1"/>
          <w:sz w:val="18"/>
          <w:szCs w:val="18"/>
        </w:rPr>
      </w:pPr>
      <w:r w:rsidRPr="46C4DE92" w:rsidR="46C4DE92">
        <w:rPr>
          <w:i w:val="1"/>
          <w:iCs w:val="1"/>
          <w:sz w:val="18"/>
          <w:szCs w:val="18"/>
        </w:rPr>
        <w:t>Channel occupancy and RSSI measurement reporting should be adopted for NR-U if also confirmed by RAN1.</w:t>
      </w:r>
    </w:p>
    <w:p w:rsidRPr="00734AF7" w:rsidR="00B87657" w:rsidP="46C4DE92" w:rsidRDefault="00B87657" w14:paraId="4A1340FD" w14:textId="77777777" w14:noSpellErr="1">
      <w:pPr>
        <w:pStyle w:val="Agreement"/>
        <w:tabs>
          <w:tab w:val="num" w:pos="1440"/>
        </w:tabs>
        <w:overflowPunct/>
        <w:autoSpaceDE/>
        <w:autoSpaceDN/>
        <w:adjustRightInd/>
        <w:ind w:left="453" w:hanging="357"/>
        <w:jc w:val="both"/>
        <w:textAlignment w:val="auto"/>
        <w:rPr>
          <w:i w:val="1"/>
          <w:iCs w:val="1"/>
          <w:sz w:val="18"/>
          <w:szCs w:val="18"/>
        </w:rPr>
      </w:pPr>
      <w:r w:rsidRPr="46C4DE92" w:rsidR="46C4DE92">
        <w:rPr>
          <w:i w:val="1"/>
          <w:iCs w:val="1"/>
          <w:sz w:val="18"/>
          <w:szCs w:val="18"/>
        </w:rPr>
        <w:t>Both 2-step RACH procedures and enhancements to 4-step RACH for reduced transmission opportunities should be studied.</w:t>
      </w:r>
    </w:p>
    <w:p w:rsidR="00061637" w:rsidP="00AE1D64" w:rsidRDefault="00061637" w14:paraId="348B3CD4" w14:textId="73C1CA9F" w14:noSpellErr="1">
      <w:pPr>
        <w:jc w:val="both"/>
      </w:pPr>
      <w:r w:rsidR="46C4DE92">
        <w:rPr/>
        <w:t xml:space="preserve">In this contribution, </w:t>
      </w:r>
      <w:r w:rsidR="46C4DE92">
        <w:rPr/>
        <w:t xml:space="preserve">we </w:t>
      </w:r>
      <w:r w:rsidR="46C4DE92">
        <w:rPr/>
        <w:t xml:space="preserve">continue discussions related to </w:t>
      </w:r>
      <w:r w:rsidR="46C4DE92">
        <w:rPr/>
        <w:t xml:space="preserve">RRC connected mode mobility, </w:t>
      </w:r>
      <w:r w:rsidR="46C4DE92">
        <w:rPr/>
        <w:t xml:space="preserve">with focus on </w:t>
      </w:r>
      <w:r w:rsidR="46C4DE92">
        <w:rPr/>
        <w:t xml:space="preserve">the associated RRC procedures, including configuration of </w:t>
      </w:r>
      <w:r w:rsidR="46C4DE92">
        <w:rPr/>
        <w:t>measurement reports and triggering criteria</w:t>
      </w:r>
      <w:r w:rsidR="46C4DE92">
        <w:rPr/>
        <w:t>.</w:t>
      </w:r>
    </w:p>
    <w:p w:rsidRPr="006E13D1" w:rsidR="002760F7" w:rsidP="002760F7" w:rsidRDefault="00CD2127" w14:paraId="066FC482" w14:textId="61AADD23" w14:noSpellErr="1">
      <w:pPr>
        <w:pStyle w:val="Heading1"/>
      </w:pPr>
      <w:r>
        <w:rPr/>
        <w:t>2</w:t>
      </w:r>
      <w:r>
        <w:tab/>
      </w:r>
      <w:r w:rsidR="00FB677F">
        <w:rPr/>
        <w:t>Measurement Reporting configuration</w:t>
      </w:r>
    </w:p>
    <w:p w:rsidR="00FB677F" w:rsidP="46C4DE92" w:rsidRDefault="003D0AE2" w14:paraId="780FE0E4" w14:textId="72F40313">
      <w:pPr>
        <w:jc w:val="both"/>
        <w:rPr>
          <w:lang w:val="en-US" w:eastAsia="zh-CN"/>
        </w:rPr>
      </w:pPr>
      <w:r w:rsidRPr="46C4DE92" w:rsidR="46C4DE92">
        <w:rPr>
          <w:lang w:val="en-US" w:eastAsia="zh-CN"/>
        </w:rPr>
        <w:t xml:space="preserve">In unlicensed spectrum, </w:t>
      </w:r>
      <w:r w:rsidRPr="46C4DE92" w:rsidR="46C4DE92">
        <w:rPr>
          <w:lang w:eastAsia="zh-CN"/>
        </w:rPr>
        <w:t xml:space="preserve">it is possible </w:t>
      </w:r>
      <w:r w:rsidRPr="46C4DE92" w:rsidR="46C4DE92">
        <w:rPr>
          <w:lang w:eastAsia="zh-CN"/>
        </w:rPr>
        <w:t xml:space="preserve">to have </w:t>
      </w:r>
      <w:r w:rsidRPr="46C4DE92" w:rsidR="46C4DE92">
        <w:rPr>
          <w:lang w:eastAsia="zh-CN"/>
        </w:rPr>
        <w:t>multiple PLMN operating on the same carrier frequency</w:t>
      </w:r>
      <w:r w:rsidRPr="46C4DE92" w:rsidR="46C4DE92">
        <w:rPr>
          <w:lang w:eastAsia="zh-CN"/>
        </w:rPr>
        <w:t xml:space="preserve">. For RRC connected mode mobility, this can eventually result in the UE measuring and reporting an unlicensed cell that that is not </w:t>
      </w:r>
      <w:r w:rsidRPr="46C4DE92" w:rsidR="46C4DE92">
        <w:rPr>
          <w:lang w:eastAsia="zh-CN"/>
        </w:rPr>
        <w:t xml:space="preserve">suitable for mobility. A similar problem existed in </w:t>
      </w:r>
      <w:r w:rsidRPr="46C4DE92" w:rsidR="46C4DE92">
        <w:rPr>
          <w:lang w:eastAsia="zh-CN"/>
        </w:rPr>
        <w:t xml:space="preserve">LAA for measurement and reporting of target </w:t>
      </w:r>
      <w:proofErr w:type="spellStart"/>
      <w:r w:rsidRPr="46C4DE92" w:rsidR="46C4DE92">
        <w:rPr>
          <w:lang w:eastAsia="zh-CN"/>
        </w:rPr>
        <w:t>SCells</w:t>
      </w:r>
      <w:proofErr w:type="spellEnd"/>
      <w:r w:rsidRPr="46C4DE92" w:rsidR="46C4DE92">
        <w:rPr>
          <w:lang w:eastAsia="zh-CN"/>
        </w:rPr>
        <w:t>. To solve this issue, Rel-13 LAA specifications introduce</w:t>
      </w:r>
      <w:r w:rsidRPr="46C4DE92" w:rsidR="46C4DE92">
        <w:rPr>
          <w:lang w:eastAsia="zh-CN"/>
        </w:rPr>
        <w:t>d</w:t>
      </w:r>
      <w:r w:rsidRPr="46C4DE92" w:rsidR="46C4DE92">
        <w:rPr>
          <w:lang w:eastAsia="zh-CN"/>
        </w:rPr>
        <w:t xml:space="preserve"> the possibility to add </w:t>
      </w:r>
      <w:r w:rsidRPr="46C4DE92" w:rsidR="46C4DE92">
        <w:rPr>
          <w:lang w:val="en-US"/>
        </w:rPr>
        <w:t xml:space="preserve">a whitelist of cells in the measurement reporting configuration. </w:t>
      </w:r>
    </w:p>
    <w:p w:rsidRPr="00E337B1" w:rsidR="003D0AE2" w:rsidP="46C4DE92" w:rsidRDefault="00FB677F" w14:paraId="4AE1C7F3" w14:textId="5F98B777" w14:noSpellErr="1">
      <w:pPr>
        <w:jc w:val="both"/>
        <w:rPr>
          <w:lang w:eastAsia="zh-CN"/>
        </w:rPr>
      </w:pPr>
      <w:r w:rsidRPr="46C4DE92" w:rsidR="46C4DE92">
        <w:rPr>
          <w:lang w:val="en-US" w:eastAsia="zh-CN"/>
        </w:rPr>
        <w:t xml:space="preserve">In NR-U, </w:t>
      </w:r>
      <w:r w:rsidRPr="46C4DE92" w:rsidR="46C4DE92">
        <w:rPr>
          <w:lang w:eastAsia="zh-CN"/>
        </w:rPr>
        <w:t>t</w:t>
      </w:r>
      <w:r w:rsidRPr="46C4DE92" w:rsidR="46C4DE92">
        <w:rPr>
          <w:lang w:eastAsia="zh-CN"/>
        </w:rPr>
        <w:t xml:space="preserve">he only difference </w:t>
      </w:r>
      <w:r w:rsidRPr="46C4DE92" w:rsidR="46C4DE92">
        <w:rPr>
          <w:lang w:eastAsia="zh-CN"/>
        </w:rPr>
        <w:t xml:space="preserve">as compared to LAA </w:t>
      </w:r>
      <w:r w:rsidRPr="46C4DE92" w:rsidR="46C4DE92">
        <w:rPr>
          <w:lang w:eastAsia="zh-CN"/>
        </w:rPr>
        <w:t xml:space="preserve">is that by </w:t>
      </w:r>
      <w:r w:rsidRPr="46C4DE92" w:rsidR="46C4DE92">
        <w:rPr>
          <w:lang w:eastAsia="zh-CN"/>
        </w:rPr>
        <w:t xml:space="preserve">introducing </w:t>
      </w:r>
      <w:r w:rsidRPr="46C4DE92" w:rsidR="46C4DE92">
        <w:rPr>
          <w:lang w:eastAsia="zh-CN"/>
        </w:rPr>
        <w:t xml:space="preserve">support for </w:t>
      </w:r>
      <w:r w:rsidRPr="46C4DE92" w:rsidR="46C4DE92">
        <w:rPr>
          <w:lang w:eastAsia="zh-CN"/>
        </w:rPr>
        <w:t>standalone deplo</w:t>
      </w:r>
      <w:r w:rsidRPr="46C4DE92" w:rsidR="46C4DE92">
        <w:rPr>
          <w:lang w:eastAsia="zh-CN"/>
        </w:rPr>
        <w:t>yment</w:t>
      </w:r>
      <w:r w:rsidRPr="46C4DE92" w:rsidR="46C4DE92">
        <w:rPr>
          <w:lang w:eastAsia="zh-CN"/>
        </w:rPr>
        <w:t>s</w:t>
      </w:r>
      <w:r w:rsidRPr="46C4DE92" w:rsidR="46C4DE92">
        <w:rPr>
          <w:lang w:eastAsia="zh-CN"/>
        </w:rPr>
        <w:t xml:space="preserve">, measuring and reporting </w:t>
      </w:r>
      <w:r w:rsidRPr="46C4DE92" w:rsidR="46C4DE92">
        <w:rPr>
          <w:lang w:eastAsia="zh-CN"/>
        </w:rPr>
        <w:t xml:space="preserve">of </w:t>
      </w:r>
      <w:r w:rsidRPr="46C4DE92" w:rsidR="46C4DE92">
        <w:rPr>
          <w:lang w:eastAsia="zh-CN"/>
        </w:rPr>
        <w:t>unsuitable cell</w:t>
      </w:r>
      <w:r w:rsidRPr="46C4DE92" w:rsidR="46C4DE92">
        <w:rPr>
          <w:lang w:eastAsia="zh-CN"/>
        </w:rPr>
        <w:t>s</w:t>
      </w:r>
      <w:r w:rsidRPr="46C4DE92" w:rsidR="46C4DE92">
        <w:rPr>
          <w:lang w:eastAsia="zh-CN"/>
        </w:rPr>
        <w:t xml:space="preserve"> may result in loss of </w:t>
      </w:r>
      <w:r w:rsidRPr="46C4DE92" w:rsidR="46C4DE92">
        <w:rPr>
          <w:lang w:eastAsia="zh-CN"/>
        </w:rPr>
        <w:t xml:space="preserve">radio </w:t>
      </w:r>
      <w:r w:rsidRPr="46C4DE92" w:rsidR="46C4DE92">
        <w:rPr>
          <w:lang w:eastAsia="zh-CN"/>
        </w:rPr>
        <w:t xml:space="preserve">connectivity. </w:t>
      </w:r>
      <w:r w:rsidRPr="46C4DE92" w:rsidR="46C4DE92">
        <w:rPr>
          <w:lang w:eastAsia="zh-CN"/>
        </w:rPr>
        <w:t xml:space="preserve">On the other hand, there is currently no </w:t>
      </w:r>
      <w:r w:rsidRPr="46C4DE92" w:rsidR="46C4DE92">
        <w:rPr>
          <w:lang w:eastAsia="zh-CN"/>
        </w:rPr>
        <w:t xml:space="preserve">reason to believe </w:t>
      </w:r>
      <w:r w:rsidRPr="46C4DE92" w:rsidR="46C4DE92">
        <w:rPr>
          <w:lang w:eastAsia="zh-CN"/>
        </w:rPr>
        <w:t xml:space="preserve">that the </w:t>
      </w:r>
      <w:r w:rsidRPr="46C4DE92" w:rsidR="46C4DE92">
        <w:rPr>
          <w:lang w:eastAsia="zh-CN"/>
        </w:rPr>
        <w:t xml:space="preserve">LAA </w:t>
      </w:r>
      <w:r w:rsidRPr="46C4DE92" w:rsidR="46C4DE92">
        <w:rPr>
          <w:lang w:eastAsia="zh-CN"/>
        </w:rPr>
        <w:t>mechanism based on whitelist of cells has any drawback that would make it unpractical for standalone deployments in unlicensed spectrum. Therefore, we propose</w:t>
      </w:r>
      <w:r w:rsidRPr="46C4DE92" w:rsidR="46C4DE92">
        <w:rPr>
          <w:lang w:eastAsia="zh-CN"/>
        </w:rPr>
        <w:t xml:space="preserve"> to assume </w:t>
      </w:r>
      <w:r w:rsidRPr="46C4DE92" w:rsidR="46C4DE92">
        <w:rPr>
          <w:lang w:eastAsia="zh-CN"/>
        </w:rPr>
        <w:t xml:space="preserve">the </w:t>
      </w:r>
      <w:r w:rsidRPr="46C4DE92" w:rsidR="46C4DE92">
        <w:rPr>
          <w:lang w:eastAsia="zh-CN"/>
        </w:rPr>
        <w:t>existing mecha</w:t>
      </w:r>
      <w:r w:rsidRPr="46C4DE92" w:rsidR="46C4DE92">
        <w:rPr>
          <w:lang w:eastAsia="zh-CN"/>
        </w:rPr>
        <w:t>nism</w:t>
      </w:r>
      <w:r w:rsidRPr="46C4DE92" w:rsidR="46C4DE92">
        <w:rPr>
          <w:lang w:eastAsia="zh-CN"/>
        </w:rPr>
        <w:t xml:space="preserve"> introduced </w:t>
      </w:r>
      <w:r w:rsidRPr="46C4DE92" w:rsidR="46C4DE92">
        <w:rPr>
          <w:lang w:eastAsia="zh-CN"/>
        </w:rPr>
        <w:t xml:space="preserve">in </w:t>
      </w:r>
      <w:r w:rsidRPr="46C4DE92" w:rsidR="46C4DE92">
        <w:rPr>
          <w:lang w:val="en-US"/>
        </w:rPr>
        <w:t xml:space="preserve">Rel-13 LAA as </w:t>
      </w:r>
      <w:r w:rsidRPr="46C4DE92" w:rsidR="46C4DE92">
        <w:rPr>
          <w:lang w:val="en-US"/>
        </w:rPr>
        <w:t xml:space="preserve">the </w:t>
      </w:r>
      <w:r w:rsidRPr="46C4DE92" w:rsidR="46C4DE92">
        <w:rPr>
          <w:lang w:val="en-US"/>
        </w:rPr>
        <w:t xml:space="preserve">baseline for NR-U. </w:t>
      </w:r>
    </w:p>
    <w:p w:rsidRPr="003D0AE2" w:rsidR="002760F7" w:rsidP="46C4DE92" w:rsidRDefault="00CD2127" w14:paraId="076F841B" w14:textId="27D85934" w14:noSpellErr="1">
      <w:pPr>
        <w:jc w:val="both"/>
        <w:rPr>
          <w:b w:val="1"/>
          <w:bCs w:val="1"/>
        </w:rPr>
      </w:pPr>
      <w:r w:rsidRPr="46C4DE92" w:rsidR="46C4DE92">
        <w:rPr>
          <w:b w:val="1"/>
          <w:bCs w:val="1"/>
        </w:rPr>
        <w:t>Proposal 1</w:t>
      </w:r>
      <w:r w:rsidRPr="46C4DE92" w:rsidR="46C4DE92">
        <w:rPr>
          <w:b w:val="1"/>
          <w:bCs w:val="1"/>
        </w:rPr>
        <w:t>:</w:t>
      </w:r>
      <w:r w:rsidRPr="46C4DE92" w:rsidR="46C4DE92">
        <w:rPr>
          <w:b w:val="1"/>
          <w:bCs w:val="1"/>
          <w:lang w:val="en-US"/>
        </w:rPr>
        <w:t xml:space="preserve"> </w:t>
      </w:r>
      <w:r w:rsidRPr="46C4DE92" w:rsidR="46C4DE92">
        <w:rPr>
          <w:b w:val="1"/>
          <w:bCs w:val="1"/>
          <w:lang w:val="en-US"/>
        </w:rPr>
        <w:t>e</w:t>
      </w:r>
      <w:r w:rsidRPr="46C4DE92" w:rsidR="46C4DE92">
        <w:rPr>
          <w:b w:val="1"/>
          <w:bCs w:val="1"/>
          <w:lang w:val="en-US"/>
        </w:rPr>
        <w:t>xisting solutions, such as adding a whitelist of cells in the measurement reporting configuration as introduced for Rel-13 LAA</w:t>
      </w:r>
      <w:r w:rsidRPr="46C4DE92" w:rsidR="46C4DE92">
        <w:rPr>
          <w:b w:val="1"/>
          <w:bCs w:val="1"/>
          <w:lang w:val="en-US"/>
        </w:rPr>
        <w:t xml:space="preserve">, </w:t>
      </w:r>
      <w:r w:rsidRPr="46C4DE92" w:rsidR="46C4DE92">
        <w:rPr>
          <w:b w:val="1"/>
          <w:bCs w:val="1"/>
          <w:lang w:val="en-US" w:eastAsia="zh-CN"/>
        </w:rPr>
        <w:t xml:space="preserve">are sufficient to </w:t>
      </w:r>
      <w:r w:rsidRPr="46C4DE92" w:rsidR="46C4DE92">
        <w:rPr>
          <w:b w:val="1"/>
          <w:bCs w:val="1"/>
        </w:rPr>
        <w:t>to avoid measuring and reporting cells which are not suitable for mobility (e.g. belonging to a different PLMN).</w:t>
      </w:r>
    </w:p>
    <w:p w:rsidRPr="006E13D1" w:rsidR="002760F7" w:rsidP="002760F7" w:rsidRDefault="00CD2127" w14:paraId="5C2BAA71" w14:textId="6A148DE8" w14:noSpellErr="1">
      <w:pPr>
        <w:pStyle w:val="Heading1"/>
      </w:pPr>
      <w:r>
        <w:rPr/>
        <w:lastRenderedPageBreak/>
        <w:t>3</w:t>
      </w:r>
      <w:r w:rsidRPr="006E13D1" w:rsidR="002760F7">
        <w:tab/>
      </w:r>
      <w:r w:rsidR="00FB677F">
        <w:rPr/>
        <w:t>Triggering C</w:t>
      </w:r>
      <w:r w:rsidR="002C1BC8">
        <w:rPr/>
        <w:t>riteria</w:t>
      </w:r>
    </w:p>
    <w:p w:rsidR="002D49AB" w:rsidP="46C4DE92" w:rsidRDefault="002C1BC8" w14:paraId="5B6A02C3" w14:textId="73CC81ED" w14:noSpellErr="1">
      <w:pPr>
        <w:jc w:val="both"/>
        <w:rPr>
          <w:lang w:eastAsia="zh-CN"/>
        </w:rPr>
      </w:pPr>
      <w:r w:rsidR="46C4DE92">
        <w:rPr/>
        <w:t>T</w:t>
      </w:r>
      <w:r w:rsidR="46C4DE92">
        <w:rPr/>
        <w:t xml:space="preserve">he adoption </w:t>
      </w:r>
      <w:r w:rsidR="46C4DE92">
        <w:rPr/>
        <w:t xml:space="preserve">in </w:t>
      </w:r>
      <w:r w:rsidR="46C4DE92">
        <w:rPr/>
        <w:t xml:space="preserve">NR-U of </w:t>
      </w:r>
      <w:r w:rsidR="46C4DE92">
        <w:rPr/>
        <w:t>Channel O</w:t>
      </w:r>
      <w:r w:rsidR="46C4DE92">
        <w:rPr/>
        <w:t xml:space="preserve">ccupancy and UE-reported RSSI </w:t>
      </w:r>
      <w:r w:rsidR="46C4DE92">
        <w:rPr/>
        <w:t xml:space="preserve">was </w:t>
      </w:r>
      <w:r w:rsidR="46C4DE92">
        <w:rPr/>
        <w:t xml:space="preserve">agreed in </w:t>
      </w:r>
      <w:r w:rsidRPr="46C4DE92" w:rsidR="46C4DE92">
        <w:rPr>
          <w:lang w:val="en-US"/>
        </w:rPr>
        <w:t>RAN2</w:t>
      </w:r>
      <w:r w:rsidR="46C4DE92">
        <w:rPr/>
        <w:t>#</w:t>
      </w:r>
      <w:r w:rsidRPr="46C4DE92" w:rsidR="46C4DE92">
        <w:rPr>
          <w:lang w:eastAsia="zh-CN"/>
        </w:rPr>
        <w:t>AH-1807</w:t>
      </w:r>
      <w:r w:rsidRPr="46C4DE92" w:rsidR="46C4DE92">
        <w:rPr>
          <w:lang w:eastAsia="zh-CN"/>
        </w:rPr>
        <w:t xml:space="preserve">. Therefore, a few </w:t>
      </w:r>
      <w:r w:rsidRPr="46C4DE92" w:rsidR="46C4DE92">
        <w:rPr>
          <w:lang w:eastAsia="zh-CN"/>
        </w:rPr>
        <w:t>companies (</w:t>
      </w:r>
      <w:r w:rsidRPr="46C4DE92" w:rsidR="46C4DE92">
        <w:rPr>
          <w:lang w:eastAsia="zh-CN"/>
        </w:rPr>
        <w:t xml:space="preserve">see </w:t>
      </w:r>
      <w:r w:rsidRPr="46C4DE92" w:rsidR="46C4DE92">
        <w:rPr>
          <w:lang w:eastAsia="zh-CN"/>
        </w:rPr>
        <w:t>e.g. [</w:t>
      </w:r>
      <w:r w:rsidRPr="46C4DE92" w:rsidR="46C4DE92">
        <w:rPr>
          <w:lang w:eastAsia="zh-CN"/>
        </w:rPr>
        <w:t>2]</w:t>
      </w:r>
      <w:r w:rsidRPr="46C4DE92" w:rsidR="46C4DE92">
        <w:rPr>
          <w:lang w:eastAsia="zh-CN"/>
        </w:rPr>
        <w:t xml:space="preserve"> [</w:t>
      </w:r>
      <w:r w:rsidRPr="46C4DE92" w:rsidR="46C4DE92">
        <w:rPr>
          <w:lang w:eastAsia="zh-CN"/>
        </w:rPr>
        <w:t>3</w:t>
      </w:r>
      <w:r w:rsidRPr="46C4DE92" w:rsidR="46C4DE92">
        <w:rPr>
          <w:lang w:eastAsia="zh-CN"/>
        </w:rPr>
        <w:t xml:space="preserve">]) are proposing </w:t>
      </w:r>
      <w:r w:rsidRPr="46C4DE92" w:rsidR="46C4DE92">
        <w:rPr>
          <w:lang w:eastAsia="zh-CN"/>
        </w:rPr>
        <w:t xml:space="preserve">to </w:t>
      </w:r>
      <w:r w:rsidRPr="46C4DE92" w:rsidR="46C4DE92">
        <w:rPr>
          <w:lang w:eastAsia="zh-CN"/>
        </w:rPr>
        <w:t xml:space="preserve">introduce new triggering criteria and/or measurement reports which are also based on </w:t>
      </w:r>
      <w:r w:rsidRPr="46C4DE92" w:rsidR="46C4DE92">
        <w:rPr>
          <w:lang w:eastAsia="zh-CN"/>
        </w:rPr>
        <w:t xml:space="preserve">those </w:t>
      </w:r>
      <w:r w:rsidRPr="46C4DE92" w:rsidR="46C4DE92">
        <w:rPr>
          <w:lang w:eastAsia="zh-CN"/>
        </w:rPr>
        <w:t xml:space="preserve">measurement quantities – and not only the RSRP, RSRQ and </w:t>
      </w:r>
      <w:r w:rsidRPr="46C4DE92" w:rsidR="46C4DE92">
        <w:rPr>
          <w:lang w:eastAsia="zh-CN"/>
        </w:rPr>
        <w:t xml:space="preserve">SINR as assumed in baseline </w:t>
      </w:r>
      <w:r w:rsidRPr="46C4DE92" w:rsidR="46C4DE92">
        <w:rPr>
          <w:lang w:eastAsia="zh-CN"/>
        </w:rPr>
        <w:t xml:space="preserve">Rel-15 </w:t>
      </w:r>
      <w:r w:rsidRPr="46C4DE92" w:rsidR="46C4DE92">
        <w:rPr>
          <w:lang w:eastAsia="zh-CN"/>
        </w:rPr>
        <w:t>NR.</w:t>
      </w:r>
    </w:p>
    <w:p w:rsidR="002D49AB" w:rsidP="46C4DE92" w:rsidRDefault="002D49AB" w14:paraId="20A3A15B" w14:textId="2E94FF9A" w14:noSpellErr="1">
      <w:pPr>
        <w:jc w:val="both"/>
        <w:rPr>
          <w:lang w:val="en-US"/>
        </w:rPr>
      </w:pPr>
      <w:r w:rsidRPr="46C4DE92" w:rsidR="46C4DE92">
        <w:rPr>
          <w:lang w:val="en-US"/>
        </w:rPr>
        <w:t xml:space="preserve">However, </w:t>
      </w:r>
      <w:r w:rsidRPr="46C4DE92" w:rsidR="46C4DE92">
        <w:rPr>
          <w:lang w:val="en-US"/>
        </w:rPr>
        <w:t xml:space="preserve">there </w:t>
      </w:r>
      <w:r w:rsidRPr="46C4DE92" w:rsidR="46C4DE92">
        <w:rPr>
          <w:lang w:val="en-US"/>
        </w:rPr>
        <w:t xml:space="preserve">is no clear benefit of introducing </w:t>
      </w:r>
      <w:r w:rsidRPr="46C4DE92" w:rsidR="46C4DE92">
        <w:rPr>
          <w:lang w:val="en-US"/>
        </w:rPr>
        <w:t xml:space="preserve">new </w:t>
      </w:r>
      <w:r w:rsidRPr="46C4DE92" w:rsidR="46C4DE92">
        <w:rPr>
          <w:lang w:eastAsia="zh-CN"/>
        </w:rPr>
        <w:t xml:space="preserve">triggering criteria (and corresponding measurement reports) </w:t>
      </w:r>
      <w:r w:rsidRPr="46C4DE92" w:rsidR="46C4DE92">
        <w:rPr>
          <w:lang w:val="en-US"/>
        </w:rPr>
        <w:t xml:space="preserve">for </w:t>
      </w:r>
      <w:r w:rsidRPr="46C4DE92" w:rsidR="46C4DE92">
        <w:rPr>
          <w:lang w:val="en-US"/>
        </w:rPr>
        <w:t xml:space="preserve">support of RRC connected mode mobility </w:t>
      </w:r>
      <w:r w:rsidRPr="46C4DE92" w:rsidR="46C4DE92">
        <w:rPr>
          <w:lang w:val="en-US"/>
        </w:rPr>
        <w:t>in unlicensed spect</w:t>
      </w:r>
      <w:r w:rsidRPr="46C4DE92" w:rsidR="46C4DE92">
        <w:rPr>
          <w:lang w:val="en-US"/>
        </w:rPr>
        <w:t xml:space="preserve">rum, which are </w:t>
      </w:r>
      <w:r w:rsidRPr="46C4DE92" w:rsidR="46C4DE92">
        <w:rPr>
          <w:lang w:val="en-US"/>
        </w:rPr>
        <w:t>based on</w:t>
      </w:r>
      <w:r w:rsidRPr="46C4DE92" w:rsidR="46C4DE92">
        <w:rPr>
          <w:lang w:val="en-US"/>
        </w:rPr>
        <w:t xml:space="preserve"> Channel Occupancy and/or UE-reported RSSI</w:t>
      </w:r>
      <w:r w:rsidRPr="46C4DE92" w:rsidR="46C4DE92">
        <w:rPr>
          <w:lang w:val="en-US"/>
        </w:rPr>
        <w:t xml:space="preserve">. </w:t>
      </w:r>
      <w:r w:rsidRPr="46C4DE92" w:rsidR="46C4DE92">
        <w:rPr>
          <w:lang w:val="en-US"/>
        </w:rPr>
        <w:t xml:space="preserve">It should be noted that </w:t>
      </w:r>
      <w:r w:rsidRPr="46C4DE92" w:rsidR="46C4DE92">
        <w:rPr>
          <w:lang w:val="en-US"/>
        </w:rPr>
        <w:t>RSRQ is defined as the ratio of RSRP to RSSI, and as such it does already (at least partially) include the effect of load</w:t>
      </w:r>
      <w:r w:rsidRPr="46C4DE92" w:rsidR="46C4DE92">
        <w:rPr>
          <w:lang w:val="en-US"/>
        </w:rPr>
        <w:t xml:space="preserve"> on a carrier frequency</w:t>
      </w:r>
      <w:r w:rsidRPr="46C4DE92" w:rsidR="46C4DE92">
        <w:rPr>
          <w:lang w:val="en-US"/>
        </w:rPr>
        <w:t xml:space="preserve">. Unless clear benefits </w:t>
      </w:r>
      <w:r w:rsidRPr="46C4DE92" w:rsidR="46C4DE92">
        <w:rPr>
          <w:lang w:val="en-US"/>
        </w:rPr>
        <w:t xml:space="preserve">are identified </w:t>
      </w:r>
      <w:r w:rsidRPr="46C4DE92" w:rsidR="46C4DE92">
        <w:rPr>
          <w:lang w:val="en-US"/>
        </w:rPr>
        <w:t xml:space="preserve">as compared to </w:t>
      </w:r>
      <w:r w:rsidRPr="46C4DE92" w:rsidR="46C4DE92">
        <w:rPr>
          <w:lang w:val="en-US"/>
        </w:rPr>
        <w:t xml:space="preserve">existing triggering criteria (and corresponding measurement reports), </w:t>
      </w:r>
      <w:r w:rsidRPr="46C4DE92" w:rsidR="46C4DE92">
        <w:rPr>
          <w:lang w:val="en-US"/>
        </w:rPr>
        <w:t xml:space="preserve">we propose not to adopt </w:t>
      </w:r>
      <w:r w:rsidRPr="46C4DE92" w:rsidR="46C4DE92">
        <w:rPr>
          <w:lang w:val="en-US"/>
        </w:rPr>
        <w:t>new triggering criteria and corresponding measurement reports) which are based on Channel Occupancy and/or UE-reported RSSI</w:t>
      </w:r>
      <w:r w:rsidRPr="46C4DE92" w:rsidR="46C4DE92">
        <w:rPr>
          <w:lang w:val="en-US"/>
        </w:rPr>
        <w:t>.</w:t>
      </w:r>
    </w:p>
    <w:p w:rsidRPr="00B77D08" w:rsidR="00734AF7" w:rsidP="46C4DE92" w:rsidRDefault="00734AF7" w14:paraId="61EA0884" w14:textId="25F6805B" w14:noSpellErr="1">
      <w:pPr>
        <w:jc w:val="both"/>
        <w:rPr>
          <w:b w:val="1"/>
          <w:bCs w:val="1"/>
        </w:rPr>
      </w:pPr>
      <w:r w:rsidRPr="46C4DE92" w:rsidR="46C4DE92">
        <w:rPr>
          <w:b w:val="1"/>
          <w:bCs w:val="1"/>
        </w:rPr>
        <w:t>Proposal 2:</w:t>
      </w:r>
      <w:r w:rsidRPr="46C4DE92" w:rsidR="46C4DE92">
        <w:rPr>
          <w:b w:val="1"/>
          <w:bCs w:val="1"/>
          <w:lang w:val="en-US"/>
        </w:rPr>
        <w:t xml:space="preserve"> NR-U adopts same triggering criteria as in baseline Rel-15. I.e. no new triggering criteria based on Channel Occupancy and/or UE-reported RSSI measurements, only triggering criteria based on RSRP, RSRQ and SINR</w:t>
      </w:r>
      <w:r w:rsidRPr="46C4DE92" w:rsidR="46C4DE92">
        <w:rPr>
          <w:b w:val="1"/>
          <w:bCs w:val="1"/>
          <w:lang w:val="en-US"/>
        </w:rPr>
        <w:t>.</w:t>
      </w:r>
    </w:p>
    <w:p w:rsidRPr="0075578C" w:rsidR="002760F7" w:rsidP="46C4DE92" w:rsidRDefault="00B20FC3" w14:paraId="49688041" w14:textId="40982B3D" w14:noSpellErr="1">
      <w:pPr>
        <w:jc w:val="both"/>
        <w:rPr>
          <w:b w:val="1"/>
          <w:bCs w:val="1"/>
        </w:rPr>
      </w:pPr>
      <w:r w:rsidRPr="46C4DE92" w:rsidR="46C4DE92">
        <w:rPr>
          <w:b w:val="1"/>
          <w:bCs w:val="1"/>
        </w:rPr>
        <w:t>Proposal 3</w:t>
      </w:r>
      <w:r w:rsidRPr="46C4DE92" w:rsidR="46C4DE92">
        <w:rPr>
          <w:b w:val="1"/>
          <w:bCs w:val="1"/>
        </w:rPr>
        <w:t xml:space="preserve">: </w:t>
      </w:r>
      <w:r w:rsidRPr="46C4DE92" w:rsidR="46C4DE92">
        <w:rPr>
          <w:b w:val="1"/>
          <w:bCs w:val="1"/>
        </w:rPr>
        <w:t xml:space="preserve">In NR-U as in LAA, only periodic reporting of Channel Occupancy and UE-reported RSSI </w:t>
      </w:r>
      <w:r w:rsidRPr="46C4DE92" w:rsidR="46C4DE92">
        <w:rPr>
          <w:b w:val="1"/>
          <w:bCs w:val="1"/>
        </w:rPr>
        <w:t>is supported</w:t>
      </w:r>
      <w:r w:rsidRPr="46C4DE92" w:rsidR="46C4DE92">
        <w:rPr>
          <w:b w:val="1"/>
          <w:bCs w:val="1"/>
        </w:rPr>
        <w:t xml:space="preserve">.  </w:t>
      </w:r>
    </w:p>
    <w:p w:rsidRPr="006E13D1" w:rsidR="0082592B" w:rsidP="0082592B" w:rsidRDefault="0082592B" w14:paraId="305600EF" w14:textId="177E1C59" w14:noSpellErr="1">
      <w:pPr>
        <w:pStyle w:val="Heading1"/>
      </w:pPr>
      <w:r>
        <w:rPr/>
        <w:t>4</w:t>
      </w:r>
      <w:r w:rsidRPr="006E13D1">
        <w:tab/>
      </w:r>
      <w:r>
        <w:rPr/>
        <w:t>RRC Connected mode mobility: Handover</w:t>
      </w:r>
    </w:p>
    <w:p w:rsidRPr="00E40D4A" w:rsidR="002760F7" w:rsidP="46C4DE92" w:rsidRDefault="002760F7" w14:paraId="1615D125" w14:textId="494BB468">
      <w:pPr>
        <w:jc w:val="both"/>
        <w:rPr>
          <w:lang w:val="en-US"/>
        </w:rPr>
      </w:pPr>
      <w:r w:rsidRPr="46C4DE92" w:rsidR="46C4DE92">
        <w:rPr>
          <w:lang w:val="en-US"/>
        </w:rPr>
        <w:t>Several handover enhancements, including conditional handover, have bee</w:t>
      </w:r>
      <w:r w:rsidRPr="46C4DE92" w:rsidR="46C4DE92">
        <w:rPr>
          <w:lang w:val="en-US"/>
        </w:rPr>
        <w:t>n discussed in NR, s</w:t>
      </w:r>
      <w:r w:rsidRPr="46C4DE92" w:rsidR="46C4DE92">
        <w:rPr>
          <w:lang w:val="en-US"/>
        </w:rPr>
        <w:t>ee e.g. [</w:t>
      </w:r>
      <w:r w:rsidRPr="46C4DE92" w:rsidR="46C4DE92">
        <w:rPr>
          <w:lang w:val="en-US"/>
        </w:rPr>
        <w:t>4</w:t>
      </w:r>
      <w:r w:rsidRPr="46C4DE92" w:rsidR="46C4DE92">
        <w:rPr>
          <w:lang w:val="en-US"/>
        </w:rPr>
        <w:t xml:space="preserve">].  However, RAN2 has agreed that in Rel-15 NR, mobility shall reuse LTE-like handover. </w:t>
      </w:r>
      <w:r w:rsidRPr="46C4DE92" w:rsidR="46C4DE92">
        <w:rPr>
          <w:lang w:val="en-US"/>
        </w:rPr>
        <w:t xml:space="preserve">Mobility enhancements are first to be </w:t>
      </w:r>
      <w:r w:rsidRPr="46C4DE92" w:rsidR="46C4DE92">
        <w:rPr>
          <w:lang w:val="en-US"/>
        </w:rPr>
        <w:t xml:space="preserve">introduced in </w:t>
      </w:r>
      <w:r w:rsidRPr="46C4DE92" w:rsidR="46C4DE92">
        <w:rPr>
          <w:lang w:val="en-US"/>
        </w:rPr>
        <w:t>Rel-16 [</w:t>
      </w:r>
      <w:r w:rsidRPr="46C4DE92" w:rsidR="46C4DE92">
        <w:rPr>
          <w:lang w:val="en-US"/>
        </w:rPr>
        <w:t>5</w:t>
      </w:r>
      <w:r w:rsidRPr="46C4DE92" w:rsidR="46C4DE92">
        <w:rPr>
          <w:lang w:val="en-US"/>
        </w:rPr>
        <w:t>]</w:t>
      </w:r>
      <w:r w:rsidRPr="46C4DE92" w:rsidR="46C4DE92">
        <w:rPr>
          <w:lang w:val="en-US"/>
        </w:rPr>
        <w:t>. With</w:t>
      </w:r>
      <w:r w:rsidRPr="46C4DE92" w:rsidR="46C4DE92">
        <w:rPr>
          <w:lang w:val="en-US"/>
        </w:rPr>
        <w:t xml:space="preserve"> the LTE-like </w:t>
      </w:r>
      <w:r w:rsidR="46C4DE92">
        <w:rPr/>
        <w:t>backward handover</w:t>
      </w:r>
      <w:r w:rsidRPr="46C4DE92" w:rsidR="46C4DE92">
        <w:rPr>
          <w:lang w:val="en-US"/>
        </w:rPr>
        <w:t xml:space="preserve"> </w:t>
      </w:r>
      <w:r w:rsidRPr="46C4DE92" w:rsidR="46C4DE92">
        <w:rPr>
          <w:lang w:val="en-US"/>
        </w:rPr>
        <w:t xml:space="preserve">procedure, the </w:t>
      </w:r>
      <w:r w:rsidR="46C4DE92">
        <w:rPr/>
        <w:t xml:space="preserve">UE </w:t>
      </w:r>
      <w:r w:rsidR="46C4DE92">
        <w:rPr/>
        <w:t xml:space="preserve">first </w:t>
      </w:r>
      <w:r w:rsidR="46C4DE92">
        <w:rPr/>
        <w:t xml:space="preserve">sends a </w:t>
      </w:r>
      <w:r w:rsidR="46C4DE92">
        <w:rPr/>
        <w:t>measurement report</w:t>
      </w:r>
      <w:r w:rsidR="46C4DE92">
        <w:rPr/>
        <w:t>,</w:t>
      </w:r>
      <w:r w:rsidR="46C4DE92">
        <w:rPr/>
        <w:t xml:space="preserve"> </w:t>
      </w:r>
      <w:r w:rsidR="46C4DE92">
        <w:rPr/>
        <w:t xml:space="preserve">based on the configured measurement events and triggering criteria. Then the source cell sends a handover command to the </w:t>
      </w:r>
      <w:r w:rsidR="46C4DE92">
        <w:rPr/>
        <w:t>UE</w:t>
      </w:r>
      <w:r w:rsidR="46C4DE92">
        <w:rPr/>
        <w:t xml:space="preserve">, after having contacted the target cell. Finally, the UE performs a random-access </w:t>
      </w:r>
      <w:r w:rsidR="46C4DE92">
        <w:rPr/>
        <w:t xml:space="preserve">procedure </w:t>
      </w:r>
      <w:r w:rsidR="46C4DE92">
        <w:rPr/>
        <w:t xml:space="preserve">towards the </w:t>
      </w:r>
      <w:r w:rsidR="46C4DE92">
        <w:rPr/>
        <w:t>target cell</w:t>
      </w:r>
      <w:r w:rsidR="46C4DE92">
        <w:rPr/>
        <w:t xml:space="preserve">, </w:t>
      </w:r>
      <w:r w:rsidR="46C4DE92">
        <w:rPr/>
        <w:t xml:space="preserve">and sends a handover complete </w:t>
      </w:r>
      <w:r w:rsidR="46C4DE92">
        <w:rPr/>
        <w:t>message [</w:t>
      </w:r>
      <w:r w:rsidR="46C4DE92">
        <w:rPr/>
        <w:t>6</w:t>
      </w:r>
      <w:r w:rsidR="46C4DE92">
        <w:rPr/>
        <w:t>].</w:t>
      </w:r>
      <w:r w:rsidR="46C4DE92">
        <w:rPr/>
        <w:t xml:space="preserve"> </w:t>
      </w:r>
      <w:r w:rsidRPr="46C4DE92" w:rsidR="46C4DE92">
        <w:rPr>
          <w:lang w:val="en-US"/>
        </w:rPr>
        <w:t>A similar approach is assumed for (P)</w:t>
      </w:r>
      <w:proofErr w:type="spellStart"/>
      <w:r w:rsidRPr="46C4DE92" w:rsidR="46C4DE92">
        <w:rPr>
          <w:lang w:val="en-US"/>
        </w:rPr>
        <w:t>SCell</w:t>
      </w:r>
      <w:proofErr w:type="spellEnd"/>
      <w:r w:rsidRPr="46C4DE92" w:rsidR="46C4DE92">
        <w:rPr>
          <w:lang w:val="en-US"/>
        </w:rPr>
        <w:t xml:space="preserve"> management procedures in EN-DC [</w:t>
      </w:r>
      <w:r w:rsidRPr="46C4DE92" w:rsidR="46C4DE92">
        <w:rPr>
          <w:lang w:val="en-US"/>
        </w:rPr>
        <w:t>7</w:t>
      </w:r>
      <w:r w:rsidRPr="46C4DE92" w:rsidR="46C4DE92">
        <w:rPr>
          <w:lang w:val="en-US"/>
        </w:rPr>
        <w:t xml:space="preserve">], which is almost entirely based on </w:t>
      </w:r>
      <w:r w:rsidR="46C4DE92">
        <w:rPr/>
        <w:t xml:space="preserve">the procedures defined for LTE dual connectivity </w:t>
      </w:r>
      <w:r w:rsidR="46C4DE92">
        <w:rPr/>
        <w:t xml:space="preserve">in </w:t>
      </w:r>
      <w:r w:rsidR="46C4DE92">
        <w:rPr/>
        <w:t>TS 36.300</w:t>
      </w:r>
      <w:r w:rsidRPr="46C4DE92" w:rsidR="46C4DE92">
        <w:rPr>
          <w:lang w:val="en-US"/>
        </w:rPr>
        <w:t>.</w:t>
      </w:r>
    </w:p>
    <w:p w:rsidRPr="00003ECE" w:rsidR="002760F7" w:rsidP="46C4DE92" w:rsidRDefault="002760F7" w14:paraId="5E0528EB" w14:textId="3E9C2D5D">
      <w:pPr>
        <w:jc w:val="both"/>
        <w:rPr>
          <w:lang w:val="en-US"/>
        </w:rPr>
      </w:pPr>
      <w:r w:rsidRPr="46C4DE92" w:rsidR="46C4DE92">
        <w:rPr>
          <w:lang w:val="en-US"/>
        </w:rPr>
        <w:t xml:space="preserve">We </w:t>
      </w:r>
      <w:r w:rsidR="46C4DE92">
        <w:rPr/>
        <w:t xml:space="preserve">propose adopting in NR-U the handover and </w:t>
      </w:r>
      <w:r w:rsidRPr="46C4DE92" w:rsidR="46C4DE92">
        <w:rPr>
          <w:lang w:val="en-US"/>
        </w:rPr>
        <w:t>(P)</w:t>
      </w:r>
      <w:proofErr w:type="spellStart"/>
      <w:r w:rsidRPr="46C4DE92" w:rsidR="46C4DE92">
        <w:rPr>
          <w:lang w:val="en-US"/>
        </w:rPr>
        <w:t>SCell</w:t>
      </w:r>
      <w:proofErr w:type="spellEnd"/>
      <w:r w:rsidRPr="46C4DE92" w:rsidR="46C4DE92">
        <w:rPr>
          <w:lang w:val="en-US"/>
        </w:rPr>
        <w:t xml:space="preserve"> management </w:t>
      </w:r>
      <w:r w:rsidR="46C4DE92">
        <w:rPr/>
        <w:t>procedures as agreed for NR Rel-15. Mobility enhancements for operation in unlicensed spectrum may be considered in a second phase</w:t>
      </w:r>
      <w:r w:rsidR="46C4DE92">
        <w:rPr/>
        <w:t xml:space="preserve">, only </w:t>
      </w:r>
      <w:r w:rsidR="46C4DE92">
        <w:rPr/>
        <w:t>after such enhancements are introduced for licensed NR</w:t>
      </w:r>
      <w:r w:rsidR="46C4DE92">
        <w:rPr/>
        <w:t xml:space="preserve"> operation</w:t>
      </w:r>
      <w:r w:rsidR="46C4DE92">
        <w:rPr/>
        <w:t xml:space="preserve">. </w:t>
      </w:r>
    </w:p>
    <w:p w:rsidRPr="0082592B" w:rsidR="009A0EA6" w:rsidP="46C4DE92" w:rsidRDefault="002760F7" w14:paraId="36D84A43" w14:textId="67C53623" w14:noSpellErr="1">
      <w:pPr>
        <w:jc w:val="both"/>
        <w:rPr>
          <w:b w:val="1"/>
          <w:bCs w:val="1"/>
          <w:lang w:val="en-US"/>
        </w:rPr>
      </w:pPr>
      <w:r w:rsidRPr="46C4DE92" w:rsidR="46C4DE92">
        <w:rPr>
          <w:b w:val="1"/>
          <w:bCs w:val="1"/>
        </w:rPr>
        <w:t xml:space="preserve">Proposal </w:t>
      </w:r>
      <w:r w:rsidRPr="46C4DE92" w:rsidR="46C4DE92">
        <w:rPr>
          <w:b w:val="1"/>
          <w:bCs w:val="1"/>
        </w:rPr>
        <w:t>4</w:t>
      </w:r>
      <w:r w:rsidRPr="46C4DE92" w:rsidR="46C4DE92">
        <w:rPr>
          <w:b w:val="1"/>
          <w:bCs w:val="1"/>
        </w:rPr>
        <w:t>:</w:t>
      </w:r>
      <w:r w:rsidRPr="46C4DE92" w:rsidR="46C4DE92">
        <w:rPr>
          <w:b w:val="1"/>
          <w:bCs w:val="1"/>
          <w:lang w:val="en-US"/>
        </w:rPr>
        <w:t xml:space="preserve"> LTE-like handover procedure agreed for NR SA in Rel-15 is considered as baseline handover </w:t>
      </w:r>
      <w:r w:rsidRPr="46C4DE92" w:rsidR="46C4DE92">
        <w:rPr>
          <w:b w:val="1"/>
          <w:bCs w:val="1"/>
          <w:lang w:val="en-US"/>
        </w:rPr>
        <w:t xml:space="preserve">procedure </w:t>
      </w:r>
      <w:r w:rsidRPr="46C4DE92" w:rsidR="46C4DE92">
        <w:rPr>
          <w:b w:val="1"/>
          <w:bCs w:val="1"/>
          <w:lang w:val="en-US"/>
        </w:rPr>
        <w:t xml:space="preserve">for NR-U SA. </w:t>
      </w:r>
      <w:r w:rsidRPr="46C4DE92" w:rsidR="46C4DE92">
        <w:rPr>
          <w:b w:val="1"/>
          <w:bCs w:val="1"/>
          <w:lang w:val="en-US"/>
        </w:rPr>
        <w:t>Enhancements of the mobility procedures should be considered after they are introduced in licensed NR SA.</w:t>
      </w:r>
    </w:p>
    <w:p w:rsidRPr="006E13D1" w:rsidR="00CD4C7B" w:rsidP="00FC44B5" w:rsidRDefault="0082592B" w14:paraId="43A12B72" w14:textId="7901EE78" w14:noSpellErr="1">
      <w:pPr>
        <w:pStyle w:val="Heading1"/>
        <w:pBdr>
          <w:top w:val="single" w:color="auto" w:sz="12" w:space="4"/>
        </w:pBdr>
      </w:pPr>
      <w:r>
        <w:rPr>
          <w:lang w:eastAsia="zh-CN"/>
        </w:rPr>
        <w:t>5</w:t>
      </w:r>
      <w:r w:rsidRPr="006E13D1" w:rsidR="00CD4C7B">
        <w:tab/>
      </w:r>
      <w:r w:rsidR="007B6CFC">
        <w:rPr>
          <w:lang w:eastAsia="zh-CN"/>
        </w:rPr>
        <w:t xml:space="preserve">Conclusion </w:t>
      </w:r>
    </w:p>
    <w:p w:rsidR="00293039" w:rsidP="007A63E3" w:rsidRDefault="007A63E3" w14:paraId="54569CF4" w14:textId="2564A80A" w14:noSpellErr="1">
      <w:pPr>
        <w:jc w:val="both"/>
      </w:pPr>
      <w:r w:rsidR="46C4DE92">
        <w:rPr/>
        <w:t>In this paper we discussed open items on RRC connected mode mobility for NR-U, and made the following proposals:</w:t>
      </w:r>
    </w:p>
    <w:p w:rsidR="00170BB3" w:rsidP="46C4DE92" w:rsidRDefault="00170BB3" w14:paraId="404D753D" w14:textId="001C197A" w14:noSpellErr="1">
      <w:pPr>
        <w:jc w:val="both"/>
        <w:rPr>
          <w:lang w:val="en-US"/>
        </w:rPr>
      </w:pPr>
      <w:r w:rsidRPr="46C4DE92" w:rsidR="46C4DE92">
        <w:rPr>
          <w:b w:val="1"/>
          <w:bCs w:val="1"/>
        </w:rPr>
        <w:t>Proposal 1</w:t>
      </w:r>
      <w:r w:rsidRPr="46C4DE92" w:rsidR="46C4DE92">
        <w:rPr>
          <w:b w:val="1"/>
          <w:bCs w:val="1"/>
        </w:rPr>
        <w:t>:</w:t>
      </w:r>
      <w:r w:rsidRPr="46C4DE92" w:rsidR="46C4DE92">
        <w:rPr>
          <w:b w:val="1"/>
          <w:bCs w:val="1"/>
          <w:lang w:val="en-US"/>
        </w:rPr>
        <w:t xml:space="preserve"> </w:t>
      </w:r>
      <w:r w:rsidRPr="46C4DE92" w:rsidR="46C4DE92">
        <w:rPr>
          <w:b w:val="1"/>
          <w:bCs w:val="1"/>
          <w:lang w:val="en-US"/>
        </w:rPr>
        <w:t xml:space="preserve">existing solutions, such as adding a whitelist of cells in the measurement reporting configuration as introduced for Rel-13 LAA, </w:t>
      </w:r>
      <w:r w:rsidRPr="46C4DE92" w:rsidR="46C4DE92">
        <w:rPr>
          <w:b w:val="1"/>
          <w:bCs w:val="1"/>
          <w:lang w:val="en-US" w:eastAsia="zh-CN"/>
        </w:rPr>
        <w:t xml:space="preserve">are sufficient to </w:t>
      </w:r>
      <w:r w:rsidRPr="46C4DE92" w:rsidR="46C4DE92">
        <w:rPr>
          <w:b w:val="1"/>
          <w:bCs w:val="1"/>
        </w:rPr>
        <w:t>to avoid measuring and reporting cells which are not suitable for mobility (e.g. belonging to a different PLMN).</w:t>
      </w:r>
    </w:p>
    <w:p w:rsidRPr="00B77D08" w:rsidR="00170BB3" w:rsidP="46C4DE92" w:rsidRDefault="00170BB3" w14:paraId="769784D7" w14:textId="77777777" w14:noSpellErr="1">
      <w:pPr>
        <w:jc w:val="both"/>
        <w:rPr>
          <w:b w:val="1"/>
          <w:bCs w:val="1"/>
        </w:rPr>
      </w:pPr>
      <w:r w:rsidRPr="46C4DE92" w:rsidR="46C4DE92">
        <w:rPr>
          <w:b w:val="1"/>
          <w:bCs w:val="1"/>
        </w:rPr>
        <w:t>Proposal 2:</w:t>
      </w:r>
      <w:r w:rsidRPr="46C4DE92" w:rsidR="46C4DE92">
        <w:rPr>
          <w:b w:val="1"/>
          <w:bCs w:val="1"/>
          <w:lang w:val="en-US"/>
        </w:rPr>
        <w:t xml:space="preserve"> NR-U adopts same triggering criteria as in baseline Rel-15. I.e. no new triggering criteria based on Channel Occupancy and/or UE-reported RSSI measurements, only triggering criteria based on RSRP, RSRQ and SINR</w:t>
      </w:r>
      <w:r w:rsidRPr="46C4DE92" w:rsidR="46C4DE92">
        <w:rPr>
          <w:b w:val="1"/>
          <w:bCs w:val="1"/>
          <w:lang w:val="en-US"/>
        </w:rPr>
        <w:t>.</w:t>
      </w:r>
    </w:p>
    <w:p w:rsidRPr="00003ECE" w:rsidR="00170BB3" w:rsidP="46C4DE92" w:rsidRDefault="00170BB3" w14:paraId="4B1D9C7B" w14:textId="7DC86FB6" w14:noSpellErr="1">
      <w:pPr>
        <w:jc w:val="both"/>
        <w:rPr>
          <w:lang w:val="en-US"/>
        </w:rPr>
      </w:pPr>
      <w:r w:rsidRPr="46C4DE92" w:rsidR="46C4DE92">
        <w:rPr>
          <w:b w:val="1"/>
          <w:bCs w:val="1"/>
        </w:rPr>
        <w:t>Proposal 3</w:t>
      </w:r>
      <w:r w:rsidRPr="46C4DE92" w:rsidR="46C4DE92">
        <w:rPr>
          <w:b w:val="1"/>
          <w:bCs w:val="1"/>
        </w:rPr>
        <w:t xml:space="preserve">: </w:t>
      </w:r>
      <w:r w:rsidRPr="46C4DE92" w:rsidR="46C4DE92">
        <w:rPr>
          <w:b w:val="1"/>
          <w:bCs w:val="1"/>
        </w:rPr>
        <w:t xml:space="preserve">In NR-U as in LAA, only periodic reporting of Channel Occupancy and UE-reported RSSI is supported. </w:t>
      </w:r>
    </w:p>
    <w:p w:rsidRPr="0082592B" w:rsidR="00170BB3" w:rsidP="46C4DE92" w:rsidRDefault="00170BB3" w14:paraId="4A08EAB5" w14:textId="77777777" w14:noSpellErr="1">
      <w:pPr>
        <w:jc w:val="both"/>
        <w:rPr>
          <w:b w:val="1"/>
          <w:bCs w:val="1"/>
          <w:lang w:val="en-US"/>
        </w:rPr>
      </w:pPr>
      <w:r w:rsidRPr="46C4DE92" w:rsidR="46C4DE92">
        <w:rPr>
          <w:b w:val="1"/>
          <w:bCs w:val="1"/>
        </w:rPr>
        <w:t xml:space="preserve">Proposal </w:t>
      </w:r>
      <w:r w:rsidRPr="46C4DE92" w:rsidR="46C4DE92">
        <w:rPr>
          <w:b w:val="1"/>
          <w:bCs w:val="1"/>
        </w:rPr>
        <w:t>4</w:t>
      </w:r>
      <w:r w:rsidRPr="46C4DE92" w:rsidR="46C4DE92">
        <w:rPr>
          <w:b w:val="1"/>
          <w:bCs w:val="1"/>
        </w:rPr>
        <w:t>:</w:t>
      </w:r>
      <w:r w:rsidRPr="46C4DE92" w:rsidR="46C4DE92">
        <w:rPr>
          <w:b w:val="1"/>
          <w:bCs w:val="1"/>
          <w:lang w:val="en-US"/>
        </w:rPr>
        <w:t xml:space="preserve"> LTE-like handover procedure agreed for NR SA in Rel-15 is considered as baseline handover </w:t>
      </w:r>
      <w:r w:rsidRPr="46C4DE92" w:rsidR="46C4DE92">
        <w:rPr>
          <w:b w:val="1"/>
          <w:bCs w:val="1"/>
          <w:lang w:val="en-US"/>
        </w:rPr>
        <w:t xml:space="preserve">procedure </w:t>
      </w:r>
      <w:r w:rsidRPr="46C4DE92" w:rsidR="46C4DE92">
        <w:rPr>
          <w:b w:val="1"/>
          <w:bCs w:val="1"/>
          <w:lang w:val="en-US"/>
        </w:rPr>
        <w:t xml:space="preserve">for NR-U SA. </w:t>
      </w:r>
      <w:r w:rsidRPr="46C4DE92" w:rsidR="46C4DE92">
        <w:rPr>
          <w:b w:val="1"/>
          <w:bCs w:val="1"/>
          <w:lang w:val="en-US"/>
        </w:rPr>
        <w:t>Enhancements of the mobility procedures should be considered after they are introduced in licensed NR SA.</w:t>
      </w:r>
    </w:p>
    <w:p w:rsidRPr="006E13D1" w:rsidR="00CD4C7B" w:rsidP="00297615" w:rsidRDefault="00CD4C7B" w14:paraId="0FDCFAC2" w14:textId="77777777" w14:noSpellErr="1">
      <w:pPr>
        <w:pStyle w:val="Heading1"/>
        <w:jc w:val="both"/>
      </w:pPr>
      <w:bookmarkStart w:name="_GoBack" w:id="3"/>
      <w:bookmarkEnd w:id="3"/>
      <w:r w:rsidR="46C4DE92">
        <w:rPr/>
        <w:t>References</w:t>
      </w:r>
    </w:p>
    <w:bookmarkStart w:name="_Ref75086397" w:id="4"/>
    <w:p w:rsidRPr="00585689" w:rsidR="00EF5F32" w:rsidP="46C4DE92" w:rsidRDefault="00EF5F32" w14:paraId="502FA875" w14:textId="241EF48B" w14:noSpellErr="1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r w:rsidRPr="00246BAE">
        <w:fldChar w:fldCharType="begin"/>
      </w:r>
      <w:r>
        <w:instrText>HYPERLINK "C:\\Users\\crosa\\AppData\\Local\\Temp\\7zO00939E22\\Docs\\R2-1810323.zip" \o "D:Documents3GPPtsg_ranWG2RAN2DocsR2-1810323.zip"</w:instrText>
      </w:r>
      <w:r w:rsidRPr="00246BAE">
        <w:fldChar w:fldCharType="separate"/>
      </w:r>
      <w:r w:rsidRPr="00246BAE">
        <w:rPr>
          <w:rStyle w:val="Hyperlink"/>
        </w:rPr>
        <w:t>R2-1810323</w:t>
      </w:r>
      <w:r w:rsidRPr="00246BAE">
        <w:fldChar w:fldCharType="end"/>
      </w:r>
      <w:r>
        <w:rPr/>
        <w:t>, “</w:t>
      </w:r>
      <w:r w:rsidRPr="46C4DE92">
        <w:rPr>
          <w:i w:val="1"/>
          <w:iCs w:val="1"/>
        </w:rPr>
        <w:t>Report of Email Discussion [102#69][NR] NR-U mobility</w:t>
      </w:r>
      <w:r>
        <w:rPr/>
        <w:t xml:space="preserve">” - </w:t>
      </w:r>
      <w:r w:rsidRPr="00246BAE">
        <w:rPr/>
        <w:t>Qualcomm Incorporated</w:t>
      </w:r>
    </w:p>
    <w:p w:rsidR="00585689" w:rsidP="46C4DE92" w:rsidRDefault="00170BB3" w14:paraId="241F3343" w14:textId="004F5970" w14:noSpellErr="1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hyperlink r:id="R0de6ab96288b4cdc">
        <w:r w:rsidRPr="46C4DE92" w:rsidR="46C4DE92">
          <w:rPr>
            <w:rStyle w:val="Hyperlink"/>
          </w:rPr>
          <w:t>R2-1809790</w:t>
        </w:r>
      </w:hyperlink>
      <w:r w:rsidR="46C4DE92">
        <w:rPr/>
        <w:t>, “</w:t>
      </w:r>
      <w:r w:rsidRPr="46C4DE92" w:rsidR="46C4DE92">
        <w:rPr>
          <w:i w:val="1"/>
          <w:iCs w:val="1"/>
        </w:rPr>
        <w:t>Additional RRM measurement and reporting in NR unlicensed</w:t>
      </w:r>
      <w:r w:rsidR="46C4DE92">
        <w:rPr/>
        <w:t>” - I</w:t>
      </w:r>
      <w:r w:rsidR="46C4DE92">
        <w:rPr/>
        <w:t>ntel Corporation</w:t>
      </w:r>
    </w:p>
    <w:p w:rsidRPr="00585689" w:rsidR="00585689" w:rsidP="46C4DE92" w:rsidRDefault="00170BB3" w14:paraId="7F26D8F4" w14:textId="22CABE05" w14:noSpellErr="1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hyperlink w:tooltip="D:Documents3GPPtsg_ranWG2RAN2DocsR2-1809838.zip" w:history="1" r:id="R9c338a5e77d34f2c">
        <w:r w:rsidRPr="00246BAE" w:rsidR="00585689">
          <w:rPr>
            <w:rStyle w:val="Hyperlink"/>
          </w:rPr>
          <w:t>R2-1809838</w:t>
        </w:r>
      </w:hyperlink>
      <w:r w:rsidR="00585689">
        <w:rPr/>
        <w:t>,</w:t>
      </w:r>
      <w:r w:rsidRPr="00246BAE" w:rsidR="00585689">
        <w:tab/>
      </w:r>
      <w:r w:rsidR="00585689">
        <w:rPr/>
        <w:t xml:space="preserve"> “</w:t>
      </w:r>
      <w:r w:rsidRPr="46C4DE92" w:rsidR="00585689">
        <w:rPr>
          <w:i w:val="1"/>
          <w:iCs w:val="1"/>
        </w:rPr>
        <w:t>Considerations on mobility for NR-U</w:t>
      </w:r>
      <w:r w:rsidR="00585689">
        <w:rPr/>
        <w:t>” - Z</w:t>
      </w:r>
      <w:r w:rsidRPr="00246BAE" w:rsidR="00585689">
        <w:rPr/>
        <w:t>TE Corporation</w:t>
      </w:r>
    </w:p>
    <w:bookmarkEnd w:id="4"/>
    <w:p w:rsidRPr="00C56E38" w:rsidR="00471988" w:rsidP="00471988" w:rsidRDefault="00B20FC3" w14:paraId="75E7372B" w14:textId="0B562389" w14:noSpellErr="1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/>
      </w:pPr>
      <w:r w:rsidRPr="46C4DE92" w:rsidR="46C4DE92">
        <w:rPr>
          <w:lang w:val="en-US"/>
        </w:rPr>
        <w:t xml:space="preserve">RP-172515, </w:t>
      </w:r>
      <w:r w:rsidRPr="46C4DE92" w:rsidR="46C4DE92">
        <w:rPr>
          <w:i w:val="1"/>
          <w:iCs w:val="1"/>
          <w:lang w:val="en-US"/>
        </w:rPr>
        <w:t>“Motivation for NR Mobility Enhancements for Rel-16”</w:t>
      </w:r>
      <w:r w:rsidRPr="46C4DE92" w:rsidR="46C4DE92">
        <w:rPr>
          <w:lang w:val="en-US"/>
        </w:rPr>
        <w:t xml:space="preserve"> – OPPO</w:t>
      </w:r>
    </w:p>
    <w:p w:rsidRPr="00585689" w:rsidR="00585689" w:rsidP="00585689" w:rsidRDefault="00471988" w14:paraId="2ABEF931" w14:textId="77777777" w14:noSpellErr="1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/>
      </w:pPr>
      <w:r w:rsidRPr="46C4DE92" w:rsidR="46C4DE92">
        <w:rPr>
          <w:lang w:val="en-US" w:eastAsia="zh-CN"/>
        </w:rPr>
        <w:t xml:space="preserve">RP-181433, </w:t>
      </w:r>
      <w:r w:rsidRPr="46C4DE92" w:rsidR="46C4DE92">
        <w:rPr>
          <w:i w:val="1"/>
          <w:iCs w:val="1"/>
          <w:lang w:val="en-US" w:eastAsia="zh-CN"/>
        </w:rPr>
        <w:t>“</w:t>
      </w:r>
      <w:r w:rsidRPr="46C4DE92" w:rsidR="46C4DE92">
        <w:rPr>
          <w:i w:val="1"/>
          <w:iCs w:val="1"/>
          <w:lang w:val="en-US" w:eastAsia="zh-CN"/>
        </w:rPr>
        <w:t>NR mobility enhancements</w:t>
      </w:r>
      <w:r w:rsidRPr="46C4DE92" w:rsidR="46C4DE92">
        <w:rPr>
          <w:i w:val="1"/>
          <w:iCs w:val="1"/>
          <w:lang w:val="en-US" w:eastAsia="zh-CN"/>
        </w:rPr>
        <w:t>”</w:t>
      </w:r>
      <w:r w:rsidRPr="46C4DE92" w:rsidR="46C4DE92">
        <w:rPr>
          <w:lang w:val="en-US" w:eastAsia="zh-CN"/>
        </w:rPr>
        <w:t xml:space="preserve"> - Intel Corporation</w:t>
      </w:r>
    </w:p>
    <w:p w:rsidRPr="00C56E38" w:rsidR="00471988" w:rsidP="00585689" w:rsidRDefault="00585689" w14:paraId="1FCACA66" w14:textId="1FF7D4FF" w14:noSpellErr="1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/>
      </w:pPr>
      <w:r w:rsidR="46C4DE92">
        <w:rPr/>
        <w:t xml:space="preserve">3GPP TS 38.300, </w:t>
      </w:r>
      <w:r w:rsidRPr="46C4DE92" w:rsidR="46C4DE92">
        <w:rPr>
          <w:i w:val="1"/>
          <w:iCs w:val="1"/>
        </w:rPr>
        <w:t>“NR and NG-RAN Overall Description (Stage 2)”</w:t>
      </w:r>
    </w:p>
    <w:p w:rsidR="00CD4C7B" w:rsidP="00CD4C7B" w:rsidRDefault="00B20FC3" w14:paraId="055200B7" w14:textId="39739769" w14:noSpellErr="1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/>
      </w:pPr>
      <w:r w:rsidR="46C4DE92">
        <w:rPr/>
        <w:t xml:space="preserve">3GPP TS 37.340, </w:t>
      </w:r>
      <w:r w:rsidRPr="46C4DE92" w:rsidR="46C4DE92">
        <w:rPr>
          <w:i w:val="1"/>
          <w:iCs w:val="1"/>
        </w:rPr>
        <w:t>“E-UTRA and NR Multi-connectivity (Stage 2)”</w:t>
      </w:r>
      <w:r w:rsidR="46C4DE92">
        <w:rPr/>
        <w:t xml:space="preserve"> </w:t>
      </w:r>
    </w:p>
    <w:sectPr w:rsidR="00CD4C7B" w:rsidSect="00412738"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3A0" w:rsidRDefault="00F943A0" w14:paraId="26587D70" w14:textId="77777777">
      <w:r>
        <w:separator/>
      </w:r>
    </w:p>
  </w:endnote>
  <w:endnote w:type="continuationSeparator" w:id="0">
    <w:p w:rsidR="00F943A0" w:rsidRDefault="00F943A0" w14:paraId="08C9045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3A0" w:rsidRDefault="00F943A0" w14:paraId="07CD9B8F" w14:textId="77777777">
      <w:r>
        <w:separator/>
      </w:r>
    </w:p>
  </w:footnote>
  <w:footnote w:type="continuationSeparator" w:id="0">
    <w:p w:rsidR="00F943A0" w:rsidRDefault="00F943A0" w14:paraId="18B4125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01B4B"/>
    <w:multiLevelType w:val="hybridMultilevel"/>
    <w:tmpl w:val="66FAE944"/>
    <w:lvl w:ilvl="0" w:tplc="0406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92114E"/>
    <w:multiLevelType w:val="hybridMultilevel"/>
    <w:tmpl w:val="C1C058C0"/>
    <w:lvl w:ilvl="0" w:tplc="4AB8E3F0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  <w:b w:val="0"/>
        <w:i w:val="0"/>
        <w:color w:val="auto"/>
        <w:sz w:val="24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BF4FC6"/>
    <w:multiLevelType w:val="hybridMultilevel"/>
    <w:tmpl w:val="F83FA9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BB84326"/>
    <w:multiLevelType w:val="hybridMultilevel"/>
    <w:tmpl w:val="7D466C20"/>
    <w:lvl w:ilvl="0" w:tplc="95D247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CFC0AFF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7BC488A8">
      <w:start w:val="135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141855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BA7807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C2A019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29852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41BC4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3A706B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51A4612"/>
    <w:multiLevelType w:val="hybridMultilevel"/>
    <w:tmpl w:val="A0D0BC16"/>
    <w:lvl w:ilvl="0" w:tplc="04090001">
      <w:start w:val="1"/>
      <w:numFmt w:val="bullet"/>
      <w:lvlText w:val=""/>
      <w:lvlJc w:val="left"/>
      <w:pPr>
        <w:ind w:left="758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hint="default" w:ascii="Wingdings" w:hAnsi="Wingdings"/>
      </w:rPr>
    </w:lvl>
  </w:abstractNum>
  <w:abstractNum w:abstractNumId="7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5AA2CB9"/>
    <w:multiLevelType w:val="hybridMultilevel"/>
    <w:tmpl w:val="04604C36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5AC191DA"/>
    <w:multiLevelType w:val="singleLevel"/>
    <w:tmpl w:val="5AC191DA"/>
    <w:lvl w:ilvl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6" w15:restartNumberingAfterBreak="0">
    <w:nsid w:val="607664BC"/>
    <w:multiLevelType w:val="hybridMultilevel"/>
    <w:tmpl w:val="A96C3B24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07836DB"/>
    <w:multiLevelType w:val="hybridMultilevel"/>
    <w:tmpl w:val="1272EEF2"/>
    <w:lvl w:ilvl="0" w:tplc="245E70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hint="default" w:ascii="Wingdings" w:hAnsi="Wingdings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hint="default" w:ascii="Wingdings" w:hAnsi="Wingdings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9E71C33"/>
    <w:multiLevelType w:val="hybridMultilevel"/>
    <w:tmpl w:val="F814C390"/>
    <w:lvl w:ilvl="0" w:tplc="267EF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D7DA4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BB6A6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6702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56DE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B02CF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2040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238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9A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9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1163"/>
        </w:tabs>
        <w:ind w:left="1163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144"/>
        </w:tabs>
        <w:ind w:left="314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hint="default" w:ascii="Wingdings" w:hAnsi="Wingdings"/>
      </w:rPr>
    </w:lvl>
  </w:abstractNum>
  <w:abstractNum w:abstractNumId="20" w15:restartNumberingAfterBreak="0">
    <w:nsid w:val="74A9FCEC"/>
    <w:multiLevelType w:val="hybridMultilevel"/>
    <w:tmpl w:val="6A9D4E72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5E77517"/>
    <w:multiLevelType w:val="hybridMultilevel"/>
    <w:tmpl w:val="9CA4B2EE"/>
    <w:lvl w:ilvl="0" w:tplc="D744D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8E002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67C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4DCE2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346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68ECA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7EC02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3524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478C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>
    <w:abstractNumId w:val="2"/>
  </w:num>
  <w:num w:numId="4">
    <w:abstractNumId w:val="8"/>
  </w:num>
  <w:num w:numId="5">
    <w:abstractNumId w:val="7"/>
  </w:num>
  <w:num w:numId="6">
    <w:abstractNumId w:val="13"/>
  </w:num>
  <w:num w:numId="7">
    <w:abstractNumId w:val="9"/>
  </w:num>
  <w:num w:numId="8">
    <w:abstractNumId w:val="5"/>
  </w:num>
  <w:num w:numId="9">
    <w:abstractNumId w:val="20"/>
  </w:num>
  <w:num w:numId="10">
    <w:abstractNumId w:val="4"/>
  </w:num>
  <w:num w:numId="11">
    <w:abstractNumId w:val="6"/>
  </w:num>
  <w:num w:numId="12">
    <w:abstractNumId w:val="11"/>
  </w:num>
  <w:num w:numId="13">
    <w:abstractNumId w:val="14"/>
  </w:num>
  <w:num w:numId="14">
    <w:abstractNumId w:val="18"/>
  </w:num>
  <w:num w:numId="15">
    <w:abstractNumId w:val="21"/>
  </w:num>
  <w:num w:numId="16">
    <w:abstractNumId w:val="17"/>
  </w:num>
  <w:num w:numId="17">
    <w:abstractNumId w:val="15"/>
  </w:num>
  <w:num w:numId="18">
    <w:abstractNumId w:val="1"/>
  </w:num>
  <w:num w:numId="19">
    <w:abstractNumId w:val="16"/>
  </w:num>
  <w:num w:numId="20">
    <w:abstractNumId w:val="12"/>
  </w:num>
  <w:num w:numId="21">
    <w:abstractNumId w:val="1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"/>
  </w:num>
  <w:num w:numId="25">
    <w:abstractNumId w:val="1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proofState w:spelling="clean" w:grammar="dirty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832"/>
    <w:rsid w:val="0002498E"/>
    <w:rsid w:val="0003254C"/>
    <w:rsid w:val="00033397"/>
    <w:rsid w:val="00040095"/>
    <w:rsid w:val="00046630"/>
    <w:rsid w:val="00061637"/>
    <w:rsid w:val="00062792"/>
    <w:rsid w:val="0007556B"/>
    <w:rsid w:val="00080512"/>
    <w:rsid w:val="00090468"/>
    <w:rsid w:val="000A055D"/>
    <w:rsid w:val="000A184C"/>
    <w:rsid w:val="000A4F3F"/>
    <w:rsid w:val="000B491E"/>
    <w:rsid w:val="000B5AE8"/>
    <w:rsid w:val="000B7BCF"/>
    <w:rsid w:val="000C522B"/>
    <w:rsid w:val="000D382C"/>
    <w:rsid w:val="000D5392"/>
    <w:rsid w:val="000D58AB"/>
    <w:rsid w:val="000D6F09"/>
    <w:rsid w:val="000E5C2B"/>
    <w:rsid w:val="000E7994"/>
    <w:rsid w:val="000F578F"/>
    <w:rsid w:val="00100D05"/>
    <w:rsid w:val="00105C35"/>
    <w:rsid w:val="00110469"/>
    <w:rsid w:val="00112F1A"/>
    <w:rsid w:val="00123E61"/>
    <w:rsid w:val="00132FC0"/>
    <w:rsid w:val="00142DB7"/>
    <w:rsid w:val="00145075"/>
    <w:rsid w:val="0015011C"/>
    <w:rsid w:val="00153EFD"/>
    <w:rsid w:val="0016620C"/>
    <w:rsid w:val="00170BB3"/>
    <w:rsid w:val="001710A6"/>
    <w:rsid w:val="00172749"/>
    <w:rsid w:val="001741A0"/>
    <w:rsid w:val="00175FA0"/>
    <w:rsid w:val="00180B20"/>
    <w:rsid w:val="00184A94"/>
    <w:rsid w:val="00194CD0"/>
    <w:rsid w:val="001A502E"/>
    <w:rsid w:val="001B4442"/>
    <w:rsid w:val="001B49C9"/>
    <w:rsid w:val="001C30B5"/>
    <w:rsid w:val="001C4F79"/>
    <w:rsid w:val="001D54AD"/>
    <w:rsid w:val="001D65A6"/>
    <w:rsid w:val="001E531D"/>
    <w:rsid w:val="001F168B"/>
    <w:rsid w:val="001F7831"/>
    <w:rsid w:val="00204045"/>
    <w:rsid w:val="0020712B"/>
    <w:rsid w:val="002107D5"/>
    <w:rsid w:val="00217EA2"/>
    <w:rsid w:val="00222823"/>
    <w:rsid w:val="0022606D"/>
    <w:rsid w:val="00231728"/>
    <w:rsid w:val="0024643D"/>
    <w:rsid w:val="002641AA"/>
    <w:rsid w:val="002647F7"/>
    <w:rsid w:val="002658C9"/>
    <w:rsid w:val="00265B33"/>
    <w:rsid w:val="002703B1"/>
    <w:rsid w:val="00270A00"/>
    <w:rsid w:val="00272FEE"/>
    <w:rsid w:val="002747EC"/>
    <w:rsid w:val="002760F7"/>
    <w:rsid w:val="002813B7"/>
    <w:rsid w:val="002855BF"/>
    <w:rsid w:val="00287BA8"/>
    <w:rsid w:val="00293039"/>
    <w:rsid w:val="00297615"/>
    <w:rsid w:val="002A3290"/>
    <w:rsid w:val="002B4225"/>
    <w:rsid w:val="002B5FB8"/>
    <w:rsid w:val="002B629B"/>
    <w:rsid w:val="002B6E03"/>
    <w:rsid w:val="002C1BC8"/>
    <w:rsid w:val="002C21C4"/>
    <w:rsid w:val="002D49AB"/>
    <w:rsid w:val="002D6D91"/>
    <w:rsid w:val="002F0D22"/>
    <w:rsid w:val="00300220"/>
    <w:rsid w:val="00303614"/>
    <w:rsid w:val="00305394"/>
    <w:rsid w:val="00311E9F"/>
    <w:rsid w:val="003172DC"/>
    <w:rsid w:val="00325AE3"/>
    <w:rsid w:val="00326069"/>
    <w:rsid w:val="00335D29"/>
    <w:rsid w:val="003400EB"/>
    <w:rsid w:val="00340DB7"/>
    <w:rsid w:val="00341891"/>
    <w:rsid w:val="00343CCE"/>
    <w:rsid w:val="00351C25"/>
    <w:rsid w:val="00354335"/>
    <w:rsid w:val="0035462D"/>
    <w:rsid w:val="00364B41"/>
    <w:rsid w:val="00365C05"/>
    <w:rsid w:val="00366421"/>
    <w:rsid w:val="003710D8"/>
    <w:rsid w:val="0037134A"/>
    <w:rsid w:val="003742B9"/>
    <w:rsid w:val="00381034"/>
    <w:rsid w:val="00381F29"/>
    <w:rsid w:val="00390796"/>
    <w:rsid w:val="00390F3C"/>
    <w:rsid w:val="00397781"/>
    <w:rsid w:val="003A3B07"/>
    <w:rsid w:val="003A4AC0"/>
    <w:rsid w:val="003B40AD"/>
    <w:rsid w:val="003C021B"/>
    <w:rsid w:val="003C4E37"/>
    <w:rsid w:val="003D0AE2"/>
    <w:rsid w:val="003D64C1"/>
    <w:rsid w:val="003E16BE"/>
    <w:rsid w:val="003F320D"/>
    <w:rsid w:val="003F4E28"/>
    <w:rsid w:val="004006E8"/>
    <w:rsid w:val="00401855"/>
    <w:rsid w:val="00412738"/>
    <w:rsid w:val="004130D4"/>
    <w:rsid w:val="00417DEC"/>
    <w:rsid w:val="00426E78"/>
    <w:rsid w:val="0044151E"/>
    <w:rsid w:val="00445384"/>
    <w:rsid w:val="00446D18"/>
    <w:rsid w:val="00453A40"/>
    <w:rsid w:val="004618DD"/>
    <w:rsid w:val="00470154"/>
    <w:rsid w:val="00471988"/>
    <w:rsid w:val="00476D6E"/>
    <w:rsid w:val="00477243"/>
    <w:rsid w:val="00477455"/>
    <w:rsid w:val="004A05AB"/>
    <w:rsid w:val="004A1F7B"/>
    <w:rsid w:val="004A5775"/>
    <w:rsid w:val="004A6975"/>
    <w:rsid w:val="004B6998"/>
    <w:rsid w:val="004C44D2"/>
    <w:rsid w:val="004D0D08"/>
    <w:rsid w:val="004D2ED6"/>
    <w:rsid w:val="004D3578"/>
    <w:rsid w:val="004D380D"/>
    <w:rsid w:val="004D5953"/>
    <w:rsid w:val="004D7906"/>
    <w:rsid w:val="004E213A"/>
    <w:rsid w:val="004E611C"/>
    <w:rsid w:val="004E7A27"/>
    <w:rsid w:val="00503171"/>
    <w:rsid w:val="00506C28"/>
    <w:rsid w:val="00510808"/>
    <w:rsid w:val="005201C0"/>
    <w:rsid w:val="00523A52"/>
    <w:rsid w:val="00524770"/>
    <w:rsid w:val="00527134"/>
    <w:rsid w:val="00534DA0"/>
    <w:rsid w:val="00536C76"/>
    <w:rsid w:val="00541B3C"/>
    <w:rsid w:val="00541F69"/>
    <w:rsid w:val="00543E6C"/>
    <w:rsid w:val="005540D6"/>
    <w:rsid w:val="005549EF"/>
    <w:rsid w:val="00565087"/>
    <w:rsid w:val="0056573F"/>
    <w:rsid w:val="0057286B"/>
    <w:rsid w:val="0057371A"/>
    <w:rsid w:val="00573F12"/>
    <w:rsid w:val="00575FDF"/>
    <w:rsid w:val="005813B7"/>
    <w:rsid w:val="0058266C"/>
    <w:rsid w:val="005829DF"/>
    <w:rsid w:val="00585689"/>
    <w:rsid w:val="00591DDC"/>
    <w:rsid w:val="00594C9F"/>
    <w:rsid w:val="005B2C60"/>
    <w:rsid w:val="005B4B30"/>
    <w:rsid w:val="005C042E"/>
    <w:rsid w:val="005C7C71"/>
    <w:rsid w:val="005D1553"/>
    <w:rsid w:val="005D6474"/>
    <w:rsid w:val="005E5DFC"/>
    <w:rsid w:val="005F5BDB"/>
    <w:rsid w:val="0060544E"/>
    <w:rsid w:val="00610313"/>
    <w:rsid w:val="00611566"/>
    <w:rsid w:val="006144DA"/>
    <w:rsid w:val="00632A2B"/>
    <w:rsid w:val="00632BA2"/>
    <w:rsid w:val="00632F93"/>
    <w:rsid w:val="006368B1"/>
    <w:rsid w:val="00642BB2"/>
    <w:rsid w:val="0064499D"/>
    <w:rsid w:val="00646D99"/>
    <w:rsid w:val="006534B5"/>
    <w:rsid w:val="00656910"/>
    <w:rsid w:val="00661E0F"/>
    <w:rsid w:val="0067011C"/>
    <w:rsid w:val="00681874"/>
    <w:rsid w:val="006842D7"/>
    <w:rsid w:val="00690D05"/>
    <w:rsid w:val="006960AA"/>
    <w:rsid w:val="006A6338"/>
    <w:rsid w:val="006A6390"/>
    <w:rsid w:val="006B1BDA"/>
    <w:rsid w:val="006B31AF"/>
    <w:rsid w:val="006B3445"/>
    <w:rsid w:val="006B37CF"/>
    <w:rsid w:val="006B4D28"/>
    <w:rsid w:val="006B620F"/>
    <w:rsid w:val="006B6819"/>
    <w:rsid w:val="006B6FA6"/>
    <w:rsid w:val="006C08B5"/>
    <w:rsid w:val="006C5344"/>
    <w:rsid w:val="006C6535"/>
    <w:rsid w:val="006C66D8"/>
    <w:rsid w:val="006D1E24"/>
    <w:rsid w:val="006D7114"/>
    <w:rsid w:val="006E1417"/>
    <w:rsid w:val="006E17D8"/>
    <w:rsid w:val="006F3EBC"/>
    <w:rsid w:val="006F6A2C"/>
    <w:rsid w:val="00700AAD"/>
    <w:rsid w:val="00707423"/>
    <w:rsid w:val="00710201"/>
    <w:rsid w:val="0071240C"/>
    <w:rsid w:val="00712463"/>
    <w:rsid w:val="0071473D"/>
    <w:rsid w:val="007165DE"/>
    <w:rsid w:val="0071690F"/>
    <w:rsid w:val="0072058C"/>
    <w:rsid w:val="00720902"/>
    <w:rsid w:val="00726779"/>
    <w:rsid w:val="00727DC9"/>
    <w:rsid w:val="007323FF"/>
    <w:rsid w:val="007342B5"/>
    <w:rsid w:val="00734A5B"/>
    <w:rsid w:val="00734AF7"/>
    <w:rsid w:val="00736E0C"/>
    <w:rsid w:val="00744C63"/>
    <w:rsid w:val="00744E76"/>
    <w:rsid w:val="007471A7"/>
    <w:rsid w:val="00757D40"/>
    <w:rsid w:val="00760E1E"/>
    <w:rsid w:val="0076121E"/>
    <w:rsid w:val="0076432C"/>
    <w:rsid w:val="0076612E"/>
    <w:rsid w:val="00781F0F"/>
    <w:rsid w:val="00783721"/>
    <w:rsid w:val="00784755"/>
    <w:rsid w:val="007863E9"/>
    <w:rsid w:val="0078727C"/>
    <w:rsid w:val="0079049D"/>
    <w:rsid w:val="00791DE8"/>
    <w:rsid w:val="007938B9"/>
    <w:rsid w:val="00793DC5"/>
    <w:rsid w:val="007A3162"/>
    <w:rsid w:val="007A322E"/>
    <w:rsid w:val="007A63E3"/>
    <w:rsid w:val="007B1121"/>
    <w:rsid w:val="007B18D8"/>
    <w:rsid w:val="007B29C3"/>
    <w:rsid w:val="007B4A4D"/>
    <w:rsid w:val="007B6CFC"/>
    <w:rsid w:val="007C095F"/>
    <w:rsid w:val="007C289C"/>
    <w:rsid w:val="007D2BE1"/>
    <w:rsid w:val="007E44F4"/>
    <w:rsid w:val="007E50FE"/>
    <w:rsid w:val="007F1AE7"/>
    <w:rsid w:val="0080195C"/>
    <w:rsid w:val="00801FB7"/>
    <w:rsid w:val="008028A4"/>
    <w:rsid w:val="00805B74"/>
    <w:rsid w:val="00813245"/>
    <w:rsid w:val="0082053B"/>
    <w:rsid w:val="0082592B"/>
    <w:rsid w:val="00827599"/>
    <w:rsid w:val="008325FA"/>
    <w:rsid w:val="00833EBC"/>
    <w:rsid w:val="00846EA0"/>
    <w:rsid w:val="00851331"/>
    <w:rsid w:val="00853B1E"/>
    <w:rsid w:val="008560F3"/>
    <w:rsid w:val="00866F67"/>
    <w:rsid w:val="00867DEA"/>
    <w:rsid w:val="00871C38"/>
    <w:rsid w:val="008734D6"/>
    <w:rsid w:val="008768CA"/>
    <w:rsid w:val="00877EF9"/>
    <w:rsid w:val="00880559"/>
    <w:rsid w:val="0088240B"/>
    <w:rsid w:val="00883DF0"/>
    <w:rsid w:val="00886856"/>
    <w:rsid w:val="0089249B"/>
    <w:rsid w:val="008A6A41"/>
    <w:rsid w:val="008B23AB"/>
    <w:rsid w:val="008B5306"/>
    <w:rsid w:val="008B69E2"/>
    <w:rsid w:val="008C203E"/>
    <w:rsid w:val="008C492C"/>
    <w:rsid w:val="008C49FD"/>
    <w:rsid w:val="008D2E4D"/>
    <w:rsid w:val="008F2A37"/>
    <w:rsid w:val="008F2BC7"/>
    <w:rsid w:val="008F6EBE"/>
    <w:rsid w:val="0090271F"/>
    <w:rsid w:val="00902DB9"/>
    <w:rsid w:val="0090466A"/>
    <w:rsid w:val="009249C9"/>
    <w:rsid w:val="00936071"/>
    <w:rsid w:val="00937975"/>
    <w:rsid w:val="0094005E"/>
    <w:rsid w:val="009400A5"/>
    <w:rsid w:val="00940212"/>
    <w:rsid w:val="00942EC2"/>
    <w:rsid w:val="00955EFB"/>
    <w:rsid w:val="00961B32"/>
    <w:rsid w:val="00970DA9"/>
    <w:rsid w:val="00970DB3"/>
    <w:rsid w:val="00974BB0"/>
    <w:rsid w:val="00982E18"/>
    <w:rsid w:val="009A0AF3"/>
    <w:rsid w:val="009A0EA6"/>
    <w:rsid w:val="009B07CD"/>
    <w:rsid w:val="009B14D2"/>
    <w:rsid w:val="009B28D2"/>
    <w:rsid w:val="009B4B54"/>
    <w:rsid w:val="009B54AB"/>
    <w:rsid w:val="009C19E9"/>
    <w:rsid w:val="009C57B9"/>
    <w:rsid w:val="009D74A6"/>
    <w:rsid w:val="009E0592"/>
    <w:rsid w:val="00A05CA5"/>
    <w:rsid w:val="00A10F02"/>
    <w:rsid w:val="00A204CA"/>
    <w:rsid w:val="00A2382E"/>
    <w:rsid w:val="00A30B85"/>
    <w:rsid w:val="00A317CA"/>
    <w:rsid w:val="00A31C6F"/>
    <w:rsid w:val="00A419A0"/>
    <w:rsid w:val="00A447F7"/>
    <w:rsid w:val="00A44AF6"/>
    <w:rsid w:val="00A53724"/>
    <w:rsid w:val="00A566B0"/>
    <w:rsid w:val="00A61052"/>
    <w:rsid w:val="00A67AAD"/>
    <w:rsid w:val="00A80B3D"/>
    <w:rsid w:val="00A82346"/>
    <w:rsid w:val="00A87630"/>
    <w:rsid w:val="00A9645F"/>
    <w:rsid w:val="00A9671C"/>
    <w:rsid w:val="00AA1553"/>
    <w:rsid w:val="00AB3559"/>
    <w:rsid w:val="00AB3D9F"/>
    <w:rsid w:val="00AB4388"/>
    <w:rsid w:val="00AB4CCA"/>
    <w:rsid w:val="00AC03C8"/>
    <w:rsid w:val="00AC2FE2"/>
    <w:rsid w:val="00AC5A3C"/>
    <w:rsid w:val="00AD0605"/>
    <w:rsid w:val="00AD1E00"/>
    <w:rsid w:val="00AD2C16"/>
    <w:rsid w:val="00AE1D64"/>
    <w:rsid w:val="00AE20F7"/>
    <w:rsid w:val="00AE2608"/>
    <w:rsid w:val="00B05962"/>
    <w:rsid w:val="00B069F0"/>
    <w:rsid w:val="00B15449"/>
    <w:rsid w:val="00B20BAA"/>
    <w:rsid w:val="00B20FC3"/>
    <w:rsid w:val="00B22FB7"/>
    <w:rsid w:val="00B23988"/>
    <w:rsid w:val="00B27303"/>
    <w:rsid w:val="00B34198"/>
    <w:rsid w:val="00B43D67"/>
    <w:rsid w:val="00B47FD1"/>
    <w:rsid w:val="00B516BB"/>
    <w:rsid w:val="00B60A6F"/>
    <w:rsid w:val="00B60E68"/>
    <w:rsid w:val="00B72399"/>
    <w:rsid w:val="00B74104"/>
    <w:rsid w:val="00B74385"/>
    <w:rsid w:val="00B77D08"/>
    <w:rsid w:val="00B84B6B"/>
    <w:rsid w:val="00B87657"/>
    <w:rsid w:val="00B915D5"/>
    <w:rsid w:val="00B92E01"/>
    <w:rsid w:val="00BA1C3C"/>
    <w:rsid w:val="00BB51C3"/>
    <w:rsid w:val="00BC3555"/>
    <w:rsid w:val="00BE63C2"/>
    <w:rsid w:val="00BF06BC"/>
    <w:rsid w:val="00C12B51"/>
    <w:rsid w:val="00C15EF5"/>
    <w:rsid w:val="00C24650"/>
    <w:rsid w:val="00C2575B"/>
    <w:rsid w:val="00C33079"/>
    <w:rsid w:val="00C51375"/>
    <w:rsid w:val="00C522CC"/>
    <w:rsid w:val="00C54D3B"/>
    <w:rsid w:val="00C55296"/>
    <w:rsid w:val="00C56CF1"/>
    <w:rsid w:val="00C56E38"/>
    <w:rsid w:val="00C56E6A"/>
    <w:rsid w:val="00C718F2"/>
    <w:rsid w:val="00C8117D"/>
    <w:rsid w:val="00C83A13"/>
    <w:rsid w:val="00C9068C"/>
    <w:rsid w:val="00C92967"/>
    <w:rsid w:val="00C9303A"/>
    <w:rsid w:val="00C94117"/>
    <w:rsid w:val="00C9442C"/>
    <w:rsid w:val="00C972CB"/>
    <w:rsid w:val="00CA3D0C"/>
    <w:rsid w:val="00CA654B"/>
    <w:rsid w:val="00CA7074"/>
    <w:rsid w:val="00CB2618"/>
    <w:rsid w:val="00CB3B5D"/>
    <w:rsid w:val="00CB5130"/>
    <w:rsid w:val="00CC2377"/>
    <w:rsid w:val="00CC2CE0"/>
    <w:rsid w:val="00CC4E78"/>
    <w:rsid w:val="00CD2127"/>
    <w:rsid w:val="00CD4C7B"/>
    <w:rsid w:val="00CD5872"/>
    <w:rsid w:val="00CD7A2F"/>
    <w:rsid w:val="00CE3751"/>
    <w:rsid w:val="00CE43E0"/>
    <w:rsid w:val="00CE77F3"/>
    <w:rsid w:val="00CF60CB"/>
    <w:rsid w:val="00D0752E"/>
    <w:rsid w:val="00D253DF"/>
    <w:rsid w:val="00D270D5"/>
    <w:rsid w:val="00D30489"/>
    <w:rsid w:val="00D33BE3"/>
    <w:rsid w:val="00D3792D"/>
    <w:rsid w:val="00D42EE3"/>
    <w:rsid w:val="00D46687"/>
    <w:rsid w:val="00D51500"/>
    <w:rsid w:val="00D52B59"/>
    <w:rsid w:val="00D552CA"/>
    <w:rsid w:val="00D553D2"/>
    <w:rsid w:val="00D55E47"/>
    <w:rsid w:val="00D62E19"/>
    <w:rsid w:val="00D67CD1"/>
    <w:rsid w:val="00D738D6"/>
    <w:rsid w:val="00D74A85"/>
    <w:rsid w:val="00D7603F"/>
    <w:rsid w:val="00D80795"/>
    <w:rsid w:val="00D83068"/>
    <w:rsid w:val="00D854BE"/>
    <w:rsid w:val="00D87E00"/>
    <w:rsid w:val="00D9134D"/>
    <w:rsid w:val="00D91B55"/>
    <w:rsid w:val="00D93D72"/>
    <w:rsid w:val="00D96D11"/>
    <w:rsid w:val="00DA7A03"/>
    <w:rsid w:val="00DB0DB8"/>
    <w:rsid w:val="00DB1818"/>
    <w:rsid w:val="00DB3521"/>
    <w:rsid w:val="00DB382D"/>
    <w:rsid w:val="00DC309B"/>
    <w:rsid w:val="00DC4DA2"/>
    <w:rsid w:val="00DC535C"/>
    <w:rsid w:val="00DD0FF4"/>
    <w:rsid w:val="00DD3A06"/>
    <w:rsid w:val="00DD3C2C"/>
    <w:rsid w:val="00DD6690"/>
    <w:rsid w:val="00DD6F5A"/>
    <w:rsid w:val="00DE39F9"/>
    <w:rsid w:val="00DF1C0A"/>
    <w:rsid w:val="00DF34F4"/>
    <w:rsid w:val="00E02AFE"/>
    <w:rsid w:val="00E30BA0"/>
    <w:rsid w:val="00E337B1"/>
    <w:rsid w:val="00E33F32"/>
    <w:rsid w:val="00E34F6F"/>
    <w:rsid w:val="00E40D4A"/>
    <w:rsid w:val="00E45021"/>
    <w:rsid w:val="00E471CF"/>
    <w:rsid w:val="00E508CF"/>
    <w:rsid w:val="00E52066"/>
    <w:rsid w:val="00E52E46"/>
    <w:rsid w:val="00E5668F"/>
    <w:rsid w:val="00E62835"/>
    <w:rsid w:val="00E704A8"/>
    <w:rsid w:val="00E77645"/>
    <w:rsid w:val="00E77ED9"/>
    <w:rsid w:val="00E83697"/>
    <w:rsid w:val="00E84883"/>
    <w:rsid w:val="00E87F5C"/>
    <w:rsid w:val="00E9045F"/>
    <w:rsid w:val="00EB0FDA"/>
    <w:rsid w:val="00EC4A25"/>
    <w:rsid w:val="00ED2DCB"/>
    <w:rsid w:val="00EE38AB"/>
    <w:rsid w:val="00EF5F32"/>
    <w:rsid w:val="00F025A2"/>
    <w:rsid w:val="00F025DF"/>
    <w:rsid w:val="00F07388"/>
    <w:rsid w:val="00F10357"/>
    <w:rsid w:val="00F1112B"/>
    <w:rsid w:val="00F14260"/>
    <w:rsid w:val="00F16BC2"/>
    <w:rsid w:val="00F2026E"/>
    <w:rsid w:val="00F21392"/>
    <w:rsid w:val="00F2210A"/>
    <w:rsid w:val="00F23927"/>
    <w:rsid w:val="00F268E1"/>
    <w:rsid w:val="00F275B7"/>
    <w:rsid w:val="00F35EE2"/>
    <w:rsid w:val="00F37743"/>
    <w:rsid w:val="00F52028"/>
    <w:rsid w:val="00F542AE"/>
    <w:rsid w:val="00F54A3D"/>
    <w:rsid w:val="00F54CB0"/>
    <w:rsid w:val="00F55206"/>
    <w:rsid w:val="00F55A09"/>
    <w:rsid w:val="00F62B8E"/>
    <w:rsid w:val="00F653B8"/>
    <w:rsid w:val="00F71B89"/>
    <w:rsid w:val="00F7353C"/>
    <w:rsid w:val="00F76F8F"/>
    <w:rsid w:val="00F8424F"/>
    <w:rsid w:val="00F874D3"/>
    <w:rsid w:val="00F92E61"/>
    <w:rsid w:val="00F943A0"/>
    <w:rsid w:val="00FA1266"/>
    <w:rsid w:val="00FA7863"/>
    <w:rsid w:val="00FB2F04"/>
    <w:rsid w:val="00FB36FA"/>
    <w:rsid w:val="00FB677F"/>
    <w:rsid w:val="00FC078E"/>
    <w:rsid w:val="00FC1192"/>
    <w:rsid w:val="00FC44B5"/>
    <w:rsid w:val="00FC5C64"/>
    <w:rsid w:val="00FD07F9"/>
    <w:rsid w:val="00FD114F"/>
    <w:rsid w:val="00FD3EFD"/>
    <w:rsid w:val="00FE0872"/>
    <w:rsid w:val="00FE1869"/>
    <w:rsid w:val="00FE251B"/>
    <w:rsid w:val="00FE5D6E"/>
    <w:rsid w:val="00FF02B4"/>
    <w:rsid w:val="00FF0C03"/>
    <w:rsid w:val="46C4DE92"/>
    <w:rsid w:val="6AC5A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docId w15:val="{366DF510-A0AE-4140-8678-3C9D9695AE2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character" w:styleId="HeaderChar" w:customStyle="1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styleId="CRCoverPage" w:customStyle="1">
    <w:name w:val="CR Cover Page"/>
    <w:rsid w:val="00CD4C7B"/>
    <w:pPr>
      <w:spacing w:after="120"/>
    </w:pPr>
    <w:rPr>
      <w:rFonts w:ascii="Arial" w:hAnsi="Arial" w:eastAsia="MS Mincho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styleId="DocumentMapChar" w:customStyle="1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FA78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Theme="minorEastAsia"/>
      <w:lang w:eastAsia="zh-CN"/>
    </w:rPr>
  </w:style>
  <w:style w:type="character" w:styleId="BodyTextChar" w:customStyle="1">
    <w:name w:val="Body Text Char"/>
    <w:basedOn w:val="DefaultParagraphFont"/>
    <w:link w:val="BodyText"/>
    <w:rsid w:val="00FA7863"/>
    <w:rPr>
      <w:rFonts w:ascii="Arial" w:hAnsi="Arial" w:eastAsiaTheme="minorEastAsia"/>
      <w:lang w:eastAsia="zh-CN"/>
    </w:rPr>
  </w:style>
  <w:style w:type="paragraph" w:styleId="Proposal" w:customStyle="1">
    <w:name w:val="Proposal"/>
    <w:basedOn w:val="Normal"/>
    <w:rsid w:val="00591DDC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 w:eastAsiaTheme="minorEastAsia"/>
      <w:b/>
      <w:bCs/>
      <w:lang w:eastAsia="zh-CN"/>
    </w:rPr>
  </w:style>
  <w:style w:type="paragraph" w:styleId="Default" w:customStyle="1">
    <w:name w:val="Default"/>
    <w:rsid w:val="00100D0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E566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 w:eastAsia="en-GB"/>
    </w:rPr>
  </w:style>
  <w:style w:type="character" w:styleId="st1" w:customStyle="1">
    <w:name w:val="st1"/>
    <w:basedOn w:val="DefaultParagraphFont"/>
    <w:rsid w:val="00DE39F9"/>
  </w:style>
  <w:style w:type="paragraph" w:styleId="Reference" w:customStyle="1">
    <w:name w:val="Reference"/>
    <w:basedOn w:val="Normal"/>
    <w:link w:val="ReferenceChar"/>
    <w:rsid w:val="003A3B07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Theme="minorEastAsia"/>
      <w:lang w:eastAsia="zh-CN"/>
    </w:rPr>
  </w:style>
  <w:style w:type="character" w:styleId="ReferenceChar" w:customStyle="1">
    <w:name w:val="Reference Char"/>
    <w:link w:val="Reference"/>
    <w:rsid w:val="003A3B07"/>
    <w:rPr>
      <w:rFonts w:ascii="Arial" w:hAnsi="Arial" w:eastAsiaTheme="minorEastAsia"/>
      <w:lang w:eastAsia="zh-CN"/>
    </w:rPr>
  </w:style>
  <w:style w:type="character" w:styleId="CommentReference">
    <w:name w:val="annotation reference"/>
    <w:basedOn w:val="DefaultParagraphFont"/>
    <w:rsid w:val="002703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2703B1"/>
  </w:style>
  <w:style w:type="character" w:styleId="CommentTextChar" w:customStyle="1">
    <w:name w:val="Comment Text Char"/>
    <w:basedOn w:val="DefaultParagraphFont"/>
    <w:link w:val="CommentText"/>
    <w:rsid w:val="002703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3B1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2703B1"/>
    <w:rPr>
      <w:b/>
      <w:bCs/>
      <w:lang w:eastAsia="en-US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37134A"/>
    <w:pPr>
      <w:spacing w:after="0"/>
      <w:ind w:left="720"/>
      <w:contextualSpacing/>
    </w:pPr>
    <w:rPr>
      <w:rFonts w:eastAsia="Times New Roman"/>
      <w:sz w:val="24"/>
      <w:szCs w:val="24"/>
      <w:lang w:val="da-DK" w:eastAsia="da-DK"/>
    </w:rPr>
  </w:style>
  <w:style w:type="character" w:styleId="ListParagraphChar" w:customStyle="1">
    <w:name w:val="List Paragraph Char"/>
    <w:aliases w:val="- Bullets Char,列出段落 Char,Lista1 Char,?? ?? Char,????? Char,???? Char,목록 단락 Char,リスト段落 Char"/>
    <w:basedOn w:val="DefaultParagraphFont"/>
    <w:link w:val="ListParagraph"/>
    <w:uiPriority w:val="34"/>
    <w:qFormat/>
    <w:locked/>
    <w:rsid w:val="00C56CF1"/>
    <w:rPr>
      <w:rFonts w:eastAsia="Times New Roman"/>
      <w:sz w:val="24"/>
      <w:szCs w:val="24"/>
      <w:lang w:val="da-DK" w:eastAsia="da-DK"/>
    </w:rPr>
  </w:style>
  <w:style w:type="paragraph" w:styleId="Doc-text2" w:customStyle="1">
    <w:name w:val="Doc-text2"/>
    <w:basedOn w:val="Normal"/>
    <w:link w:val="Doc-text2Char"/>
    <w:qFormat/>
    <w:rsid w:val="00061637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061637"/>
    <w:rPr>
      <w:rFonts w:ascii="Arial" w:hAnsi="Arial" w:eastAsia="MS Mincho"/>
      <w:szCs w:val="24"/>
    </w:rPr>
  </w:style>
  <w:style w:type="character" w:styleId="Doc-titleChar" w:customStyle="1">
    <w:name w:val="Doc-title Char"/>
    <w:link w:val="Doc-title"/>
    <w:locked/>
    <w:rsid w:val="00061637"/>
    <w:rPr>
      <w:rFonts w:ascii="Arial" w:hAnsi="Arial" w:eastAsia="MS Mincho" w:cs="Arial"/>
      <w:szCs w:val="24"/>
    </w:rPr>
  </w:style>
  <w:style w:type="paragraph" w:styleId="Doc-title" w:customStyle="1">
    <w:name w:val="Doc-title"/>
    <w:basedOn w:val="Normal"/>
    <w:next w:val="Doc-text2"/>
    <w:link w:val="Doc-titleChar"/>
    <w:qFormat/>
    <w:rsid w:val="00061637"/>
    <w:pPr>
      <w:spacing w:before="180" w:after="0"/>
      <w:ind w:left="1259" w:hanging="1259"/>
    </w:pPr>
    <w:rPr>
      <w:rFonts w:ascii="Arial" w:hAnsi="Arial" w:eastAsia="MS Mincho" w:cs="Arial"/>
      <w:szCs w:val="24"/>
      <w:lang w:eastAsia="en-GB"/>
    </w:rPr>
  </w:style>
  <w:style w:type="paragraph" w:styleId="Agreement" w:customStyle="1">
    <w:name w:val="Agreement"/>
    <w:basedOn w:val="Normal"/>
    <w:next w:val="Doc-text2"/>
    <w:qFormat/>
    <w:rsid w:val="00B87657"/>
    <w:pPr>
      <w:numPr>
        <w:numId w:val="25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 w:eastAsia="Times New Roman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9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8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115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22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747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7170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Relationship Type="http://schemas.openxmlformats.org/officeDocument/2006/relationships/hyperlink" Target="file:///C:\Users\crosa\AppData\Local\Temp\7zO00939E22\Docs\R2-1809790.zip" TargetMode="External" Id="R0de6ab96288b4cdc" /><Relationship Type="http://schemas.openxmlformats.org/officeDocument/2006/relationships/hyperlink" Target="file:///C:\Users\crosa\AppData\Local\Temp\7zO00939E22\Docs\R2-1809838.zip" TargetMode="External" Id="R9c338a5e77d34f2c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5AIRPNAIUNRU-859666464-2473</_dlc_DocId>
    <_dlc_DocIdUrl xmlns="71c5aaf6-e6ce-465b-b873-5148d2a4c105">
      <Url>https://nokia.sharepoint.com/sites/c5g/e2earch/_layouts/15/DocIdRedir.aspx?ID=5AIRPNAIUNRU-859666464-2473</Url>
      <Description>5AIRPNAIUNRU-859666464-2473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6873D7C-CEDF-4D41-B470-0299D3FA1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 TDoc.dot</ap:Template>
  <ap:Application>Microsoft Office Word</ap:Application>
  <ap:DocSecurity>0</ap:DocSecurity>
  <ap:ScaleCrop>false</ap:ScaleCrop>
  <ap:Company>Nokia Siemens Networks</ap:Company>
  <ap:SharedDoc>false</ap:SharedDoc>
  <ap:HyperlinkBase/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subject>&lt;Title 1; Title 2&gt; (Release 13 |12 |11 | 10 | 9 | 8 | 7 | 6 | 5 | 4)</dc:subject>
  <dc:creator>Meng, Yan B. (NSB - CN/Shanghai)</dc:creator>
  <lastModifiedBy>Wolfner, Gyorgy (Nokia - HU/Budapest)</lastModifiedBy>
  <revision>14</revision>
  <dcterms:created xsi:type="dcterms:W3CDTF">2018-08-03T08:16:00.0000000Z</dcterms:created>
  <dcterms:modified xsi:type="dcterms:W3CDTF">2018-08-09T15:27:43.5645915Z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002437d5-110d-41e1-b37b-1b3fdd678fa8</vt:lpwstr>
  </property>
</Properties>
</file>